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54535" w14:textId="77777777" w:rsidR="003B5911" w:rsidRPr="000356F5" w:rsidRDefault="003B5911" w:rsidP="000356F5">
      <w:pPr>
        <w:pStyle w:val="NoSpacing"/>
        <w:ind w:firstLine="709"/>
        <w:jc w:val="both"/>
        <w:rPr>
          <w:b/>
          <w:i/>
          <w:lang w:val="en-US"/>
        </w:rPr>
      </w:pPr>
      <w:r w:rsidRPr="000356F5">
        <w:rPr>
          <w:b/>
          <w:i/>
        </w:rPr>
        <w:t>СЪОБЩЕНИЕ ВЪВ ВРЪЗКА С ВЪВЕЖДАНЕТО НА ЕВРОТО КАТО ОФИЦИАЛНА ВАЛУТА В РЕПУБЛИКА БЪЛГАРИЯ</w:t>
      </w:r>
    </w:p>
    <w:p w14:paraId="73CCD92B" w14:textId="77777777" w:rsidR="003B5911" w:rsidRPr="000356F5" w:rsidRDefault="003B5911" w:rsidP="000356F5">
      <w:pPr>
        <w:pStyle w:val="NoSpacing"/>
        <w:ind w:firstLine="709"/>
        <w:jc w:val="both"/>
        <w:rPr>
          <w:b/>
          <w:i/>
          <w:lang w:val="en-US"/>
        </w:rPr>
      </w:pPr>
    </w:p>
    <w:p w14:paraId="14B43B70" w14:textId="77777777" w:rsidR="003B5911" w:rsidRPr="008E633D" w:rsidRDefault="003B5911" w:rsidP="000356F5">
      <w:pPr>
        <w:pStyle w:val="NoSpacing"/>
        <w:ind w:firstLine="709"/>
        <w:jc w:val="both"/>
        <w:rPr>
          <w:lang w:val="en-US"/>
        </w:rPr>
      </w:pPr>
    </w:p>
    <w:p w14:paraId="6158F20E" w14:textId="77777777" w:rsidR="00C42FDC" w:rsidRPr="008E633D" w:rsidRDefault="008939DD" w:rsidP="000356F5">
      <w:pPr>
        <w:pStyle w:val="NoSpacing"/>
        <w:ind w:firstLine="709"/>
        <w:jc w:val="both"/>
      </w:pPr>
      <w:r w:rsidRPr="008E633D">
        <w:t>У</w:t>
      </w:r>
      <w:r w:rsidR="0017111C" w:rsidRPr="008E633D">
        <w:t>важаеми клиенти</w:t>
      </w:r>
      <w:r w:rsidR="008673DA" w:rsidRPr="008E633D">
        <w:t xml:space="preserve">, </w:t>
      </w:r>
      <w:r w:rsidRPr="008E633D">
        <w:t xml:space="preserve">с настоящия документ бихме желали да Ви запознаем с приложимите правила относно </w:t>
      </w:r>
      <w:proofErr w:type="spellStart"/>
      <w:r w:rsidRPr="008E633D">
        <w:t>превалутирането</w:t>
      </w:r>
      <w:proofErr w:type="spellEnd"/>
      <w:r w:rsidRPr="008E633D">
        <w:t xml:space="preserve"> в евро, както и да Ви предоставим </w:t>
      </w:r>
      <w:r w:rsidR="008E633D">
        <w:t xml:space="preserve">необходимата </w:t>
      </w:r>
      <w:r w:rsidRPr="008E633D">
        <w:t>информация</w:t>
      </w:r>
      <w:r w:rsidR="008673DA" w:rsidRPr="008E633D">
        <w:t xml:space="preserve">, свързана с въздействието на въвеждането на еврото върху </w:t>
      </w:r>
      <w:r w:rsidR="008E633D">
        <w:t>извършваните от инвестиционните посредници дейности и услуги</w:t>
      </w:r>
      <w:r w:rsidRPr="008E633D">
        <w:t xml:space="preserve">. </w:t>
      </w:r>
    </w:p>
    <w:p w14:paraId="2C4AF008" w14:textId="77777777" w:rsidR="0017111C" w:rsidRPr="008E633D" w:rsidRDefault="0017111C" w:rsidP="000356F5">
      <w:pPr>
        <w:pStyle w:val="NoSpacing"/>
        <w:ind w:firstLine="709"/>
        <w:jc w:val="both"/>
      </w:pPr>
    </w:p>
    <w:p w14:paraId="51E740CA" w14:textId="77777777" w:rsidR="003B5911" w:rsidRPr="001D1833" w:rsidRDefault="003B5911" w:rsidP="000356F5">
      <w:pPr>
        <w:pStyle w:val="NoSpacing"/>
        <w:ind w:firstLine="709"/>
        <w:jc w:val="both"/>
        <w:rPr>
          <w:rFonts w:eastAsia="Calibri"/>
          <w:i/>
        </w:rPr>
      </w:pPr>
      <w:r w:rsidRPr="001D1833">
        <w:rPr>
          <w:rFonts w:eastAsia="Calibri"/>
          <w:i/>
        </w:rPr>
        <w:t>Дата на въвеждане</w:t>
      </w:r>
    </w:p>
    <w:p w14:paraId="2FAD7614" w14:textId="77777777" w:rsidR="003B5911" w:rsidRPr="008E633D" w:rsidRDefault="003B5911" w:rsidP="000356F5">
      <w:pPr>
        <w:pStyle w:val="NoSpacing"/>
        <w:ind w:firstLine="709"/>
        <w:jc w:val="both"/>
        <w:rPr>
          <w:rFonts w:eastAsia="Calibri"/>
        </w:rPr>
      </w:pPr>
    </w:p>
    <w:p w14:paraId="2C9797F0" w14:textId="77777777" w:rsidR="003B5911" w:rsidRPr="008E633D" w:rsidRDefault="003B5911" w:rsidP="000356F5">
      <w:pPr>
        <w:pStyle w:val="NoSpacing"/>
        <w:ind w:firstLine="709"/>
        <w:jc w:val="both"/>
        <w:rPr>
          <w:rFonts w:eastAsia="Calibri"/>
        </w:rPr>
      </w:pPr>
      <w:r w:rsidRPr="008E633D">
        <w:rPr>
          <w:rFonts w:eastAsia="Calibri"/>
        </w:rPr>
        <w:t>Законът за въвеждане на еврото в Република България (Обн. – ДВ, бр. 70 от 20.08.2024г.) влиза в сила от датата, определена в Решение на Съвета на Европейския съюз</w:t>
      </w:r>
      <w:r w:rsidR="00314225">
        <w:rPr>
          <w:rFonts w:eastAsia="Calibri"/>
        </w:rPr>
        <w:t xml:space="preserve"> </w:t>
      </w:r>
      <w:r w:rsidR="00314225">
        <w:rPr>
          <w:rFonts w:eastAsia="Calibri"/>
          <w:lang w:val="en-US"/>
        </w:rPr>
        <w:t>(</w:t>
      </w:r>
      <w:r w:rsidR="00314225">
        <w:rPr>
          <w:rFonts w:eastAsia="Calibri"/>
        </w:rPr>
        <w:t>Съвета</w:t>
      </w:r>
      <w:r w:rsidR="00314225">
        <w:rPr>
          <w:rFonts w:eastAsia="Calibri"/>
          <w:lang w:val="en-US"/>
        </w:rPr>
        <w:t>)</w:t>
      </w:r>
      <w:r w:rsidRPr="008E633D">
        <w:rPr>
          <w:rFonts w:eastAsia="Calibri"/>
        </w:rPr>
        <w:t xml:space="preserve"> за приемането на еврото от Република България. </w:t>
      </w:r>
    </w:p>
    <w:p w14:paraId="4EAC8E48" w14:textId="77777777" w:rsidR="003B5911" w:rsidRPr="008E633D" w:rsidRDefault="003B5911" w:rsidP="000356F5">
      <w:pPr>
        <w:pStyle w:val="NoSpacing"/>
        <w:ind w:firstLine="709"/>
        <w:jc w:val="both"/>
        <w:rPr>
          <w:rFonts w:eastAsia="Calibri"/>
        </w:rPr>
      </w:pPr>
      <w:r w:rsidRPr="008E633D">
        <w:rPr>
          <w:rFonts w:eastAsia="Calibri"/>
        </w:rPr>
        <w:t xml:space="preserve">Датата на въвеждане на еврото като официална парична единица на Република България ще бъде определена в това </w:t>
      </w:r>
      <w:r w:rsidR="00314225">
        <w:rPr>
          <w:rFonts w:eastAsia="Calibri"/>
        </w:rPr>
        <w:t>решение</w:t>
      </w:r>
      <w:r w:rsidRPr="008E633D">
        <w:rPr>
          <w:rFonts w:eastAsia="Calibri"/>
        </w:rPr>
        <w:t xml:space="preserve"> и ще бъде </w:t>
      </w:r>
      <w:r w:rsidR="00105A5C" w:rsidRPr="00F44F40">
        <w:rPr>
          <w:rFonts w:eastAsia="Calibri"/>
        </w:rPr>
        <w:t xml:space="preserve">допълнително </w:t>
      </w:r>
      <w:r w:rsidRPr="008E633D">
        <w:rPr>
          <w:rFonts w:eastAsia="Calibri"/>
        </w:rPr>
        <w:t xml:space="preserve">оповестена от Инвестиционните посредници. </w:t>
      </w:r>
    </w:p>
    <w:p w14:paraId="4CDB2D8F" w14:textId="77777777" w:rsidR="004A2C78" w:rsidRPr="008E633D" w:rsidRDefault="004A2C78" w:rsidP="000356F5">
      <w:pPr>
        <w:pStyle w:val="NoSpacing"/>
        <w:ind w:firstLine="709"/>
        <w:jc w:val="both"/>
      </w:pPr>
    </w:p>
    <w:p w14:paraId="0F6F92C8" w14:textId="77777777" w:rsidR="004A2C78" w:rsidRPr="001D1833" w:rsidRDefault="00FA09CA" w:rsidP="000356F5">
      <w:pPr>
        <w:pStyle w:val="NoSpacing"/>
        <w:ind w:firstLine="709"/>
        <w:jc w:val="both"/>
        <w:rPr>
          <w:i/>
        </w:rPr>
      </w:pPr>
      <w:r w:rsidRPr="001D1833">
        <w:rPr>
          <w:i/>
        </w:rPr>
        <w:t>П</w:t>
      </w:r>
      <w:r w:rsidR="004A2C78" w:rsidRPr="001D1833">
        <w:rPr>
          <w:i/>
        </w:rPr>
        <w:t xml:space="preserve">равила за </w:t>
      </w:r>
      <w:proofErr w:type="spellStart"/>
      <w:r w:rsidR="004A2C78" w:rsidRPr="001D1833">
        <w:rPr>
          <w:i/>
        </w:rPr>
        <w:t>превалутиране</w:t>
      </w:r>
      <w:proofErr w:type="spellEnd"/>
      <w:r w:rsidR="004A2C78" w:rsidRPr="001D1833">
        <w:rPr>
          <w:i/>
        </w:rPr>
        <w:t xml:space="preserve"> и закръгля</w:t>
      </w:r>
      <w:r w:rsidR="00496968" w:rsidRPr="001D1833">
        <w:rPr>
          <w:i/>
        </w:rPr>
        <w:t>ва</w:t>
      </w:r>
      <w:r w:rsidR="004A2C78" w:rsidRPr="001D1833">
        <w:rPr>
          <w:i/>
        </w:rPr>
        <w:t xml:space="preserve">не </w:t>
      </w:r>
    </w:p>
    <w:p w14:paraId="465EAF3D" w14:textId="77777777" w:rsidR="004A2C78" w:rsidRPr="001D1833" w:rsidRDefault="004A2C78" w:rsidP="000356F5">
      <w:pPr>
        <w:pStyle w:val="NoSpacing"/>
        <w:ind w:firstLine="709"/>
        <w:jc w:val="both"/>
        <w:rPr>
          <w:i/>
        </w:rPr>
      </w:pPr>
    </w:p>
    <w:p w14:paraId="397593EC" w14:textId="13B37954" w:rsidR="00594ACE" w:rsidRDefault="00594ACE" w:rsidP="000356F5">
      <w:pPr>
        <w:pStyle w:val="NoSpacing"/>
        <w:ind w:firstLine="709"/>
        <w:jc w:val="both"/>
        <w:rPr>
          <w:lang w:val="en-US"/>
        </w:rPr>
      </w:pPr>
      <w:bookmarkStart w:id="0" w:name="_Hlk191395949"/>
      <w:proofErr w:type="spellStart"/>
      <w:r w:rsidRPr="008E633D">
        <w:t>Превалутирането</w:t>
      </w:r>
      <w:proofErr w:type="spellEnd"/>
      <w:r w:rsidRPr="008E633D">
        <w:t xml:space="preserve"> от левове в евро ще се извършва чрез прилагането на неотменимо фиксирания валутен курс от 1.95583 лева за 1 евро, който </w:t>
      </w:r>
      <w:r w:rsidR="002C0DBA">
        <w:t xml:space="preserve">трябва да </w:t>
      </w:r>
      <w:r w:rsidRPr="008E633D">
        <w:t xml:space="preserve">бъде потвърден </w:t>
      </w:r>
      <w:r w:rsidR="002C0DBA">
        <w:t>от Съвета чрез</w:t>
      </w:r>
      <w:r w:rsidR="002C0DBA" w:rsidRPr="008E633D">
        <w:t xml:space="preserve"> </w:t>
      </w:r>
      <w:r w:rsidRPr="008E633D">
        <w:t>изменение на Регламент (EО) № 2866/985.</w:t>
      </w:r>
      <w:r w:rsidR="00DC6E48">
        <w:t xml:space="preserve"> </w:t>
      </w:r>
    </w:p>
    <w:p w14:paraId="6EB899A0" w14:textId="77777777" w:rsidR="00014615" w:rsidRDefault="00014615" w:rsidP="000356F5">
      <w:pPr>
        <w:pStyle w:val="NoSpacing"/>
        <w:ind w:firstLine="709"/>
        <w:jc w:val="both"/>
      </w:pPr>
      <w:proofErr w:type="spellStart"/>
      <w:r w:rsidRPr="00014615">
        <w:t>Превалутирането</w:t>
      </w:r>
      <w:proofErr w:type="spellEnd"/>
      <w:r w:rsidRPr="00014615">
        <w:t xml:space="preserve">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запетая. След посоченото </w:t>
      </w:r>
      <w:proofErr w:type="spellStart"/>
      <w:r w:rsidRPr="00014615">
        <w:t>превалутиране</w:t>
      </w:r>
      <w:proofErr w:type="spellEnd"/>
      <w:r w:rsidRPr="00014615">
        <w:t xml:space="preserve"> получената сума се </w:t>
      </w:r>
      <w:r w:rsidRPr="00DB25E3">
        <w:t>закръглява до втория знак след десетичната запетая</w:t>
      </w:r>
      <w:r w:rsidRPr="00014615">
        <w:t xml:space="preserve"> на базата на третия знак след десетичната запетая в съответствие със </w:t>
      </w:r>
      <w:r>
        <w:t>стандартното</w:t>
      </w:r>
      <w:r w:rsidRPr="00014615">
        <w:t xml:space="preserve"> математическо правило за закръгляване</w:t>
      </w:r>
      <w:r>
        <w:t xml:space="preserve">. </w:t>
      </w:r>
    </w:p>
    <w:bookmarkEnd w:id="0"/>
    <w:p w14:paraId="3AEA879C" w14:textId="77777777" w:rsidR="002C0DBA" w:rsidRDefault="002C0DBA" w:rsidP="000356F5">
      <w:pPr>
        <w:pStyle w:val="NoSpacing"/>
        <w:ind w:firstLine="709"/>
        <w:jc w:val="both"/>
      </w:pPr>
    </w:p>
    <w:p w14:paraId="52614882" w14:textId="458D816F" w:rsidR="002C0DBA" w:rsidRPr="00405371" w:rsidRDefault="002C0DBA" w:rsidP="000356F5">
      <w:pPr>
        <w:pStyle w:val="NoSpacing"/>
        <w:ind w:firstLine="709"/>
        <w:jc w:val="both"/>
        <w:rPr>
          <w:i/>
          <w:lang w:val="en-US"/>
        </w:rPr>
      </w:pPr>
      <w:r w:rsidRPr="00405371">
        <w:rPr>
          <w:i/>
        </w:rPr>
        <w:t xml:space="preserve">Пример: Числова стойност от 100 000 лв. след разделянето й на официалния валутен курс от 1.95583 ще бъде </w:t>
      </w:r>
      <w:r w:rsidRPr="00405371">
        <w:rPr>
          <w:i/>
          <w:lang w:val="en-US"/>
        </w:rPr>
        <w:t>51 129,188.</w:t>
      </w:r>
      <w:r w:rsidRPr="00405371">
        <w:rPr>
          <w:i/>
        </w:rPr>
        <w:t xml:space="preserve"> Поради това, че третият знак след десетичната запетая е </w:t>
      </w:r>
      <w:r w:rsidR="00F7637C" w:rsidRPr="00405371">
        <w:rPr>
          <w:i/>
        </w:rPr>
        <w:t xml:space="preserve">по-голям от пет, </w:t>
      </w:r>
      <w:r w:rsidR="00553E3B" w:rsidRPr="00405371">
        <w:rPr>
          <w:i/>
        </w:rPr>
        <w:t>а не е</w:t>
      </w:r>
      <w:r w:rsidR="00F7637C" w:rsidRPr="00405371">
        <w:rPr>
          <w:i/>
        </w:rPr>
        <w:t xml:space="preserve"> по-малък</w:t>
      </w:r>
      <w:r w:rsidR="00314225" w:rsidRPr="00405371">
        <w:rPr>
          <w:i/>
        </w:rPr>
        <w:t>,</w:t>
      </w:r>
      <w:r w:rsidR="00F7637C" w:rsidRPr="00405371">
        <w:rPr>
          <w:i/>
        </w:rPr>
        <w:t xml:space="preserve"> </w:t>
      </w:r>
      <w:proofErr w:type="spellStart"/>
      <w:r w:rsidR="00F7637C" w:rsidRPr="00405371">
        <w:rPr>
          <w:i/>
        </w:rPr>
        <w:t>превалутираната</w:t>
      </w:r>
      <w:proofErr w:type="spellEnd"/>
      <w:r w:rsidR="00F7637C" w:rsidRPr="00405371">
        <w:rPr>
          <w:i/>
        </w:rPr>
        <w:t xml:space="preserve"> сума е </w:t>
      </w:r>
      <w:r w:rsidRPr="00405371">
        <w:rPr>
          <w:i/>
          <w:lang w:val="en-US"/>
        </w:rPr>
        <w:t xml:space="preserve"> </w:t>
      </w:r>
      <w:r w:rsidR="00F7637C" w:rsidRPr="00405371">
        <w:rPr>
          <w:i/>
          <w:lang w:val="en-US"/>
        </w:rPr>
        <w:t>51 129,19</w:t>
      </w:r>
      <w:r w:rsidR="0004190F" w:rsidRPr="00405371">
        <w:rPr>
          <w:i/>
          <w:lang w:val="en-US"/>
        </w:rPr>
        <w:t xml:space="preserve"> </w:t>
      </w:r>
      <w:r w:rsidR="0004190F" w:rsidRPr="00405371">
        <w:rPr>
          <w:i/>
        </w:rPr>
        <w:t>евро</w:t>
      </w:r>
      <w:r w:rsidR="00F7637C" w:rsidRPr="00405371">
        <w:rPr>
          <w:i/>
          <w:lang w:val="en-US"/>
        </w:rPr>
        <w:t>.</w:t>
      </w:r>
    </w:p>
    <w:p w14:paraId="60B9D3F6" w14:textId="77777777" w:rsidR="00DC6E48" w:rsidRDefault="00DC6E48" w:rsidP="000356F5">
      <w:pPr>
        <w:pStyle w:val="NoSpacing"/>
        <w:ind w:firstLine="709"/>
        <w:jc w:val="both"/>
      </w:pPr>
      <w:proofErr w:type="spellStart"/>
      <w:r w:rsidRPr="00DC6E48">
        <w:t>Превалутирането</w:t>
      </w:r>
      <w:proofErr w:type="spellEnd"/>
      <w:r w:rsidRPr="00DC6E48">
        <w:t xml:space="preserve"> </w:t>
      </w:r>
      <w:r>
        <w:t>на паричните стойности се отнася за паричните суми по сметката на клиента при „Елана Трейдинг“ АД.</w:t>
      </w:r>
    </w:p>
    <w:p w14:paraId="76C392C0" w14:textId="77777777" w:rsidR="00DC6E48" w:rsidRDefault="00DC6E48" w:rsidP="000356F5">
      <w:pPr>
        <w:pStyle w:val="NoSpacing"/>
        <w:ind w:firstLine="709"/>
        <w:jc w:val="both"/>
      </w:pPr>
    </w:p>
    <w:p w14:paraId="7B43635A" w14:textId="7231ACEA" w:rsidR="004371C2" w:rsidRPr="001D1833" w:rsidRDefault="0016588F" w:rsidP="000356F5">
      <w:pPr>
        <w:pStyle w:val="NoSpacing"/>
        <w:ind w:firstLine="709"/>
        <w:jc w:val="both"/>
        <w:rPr>
          <w:i/>
        </w:rPr>
      </w:pPr>
      <w:r w:rsidRPr="001D1833">
        <w:rPr>
          <w:i/>
        </w:rPr>
        <w:t>Действието на съществуващите договори</w:t>
      </w:r>
    </w:p>
    <w:p w14:paraId="63477758" w14:textId="77777777" w:rsidR="004371C2" w:rsidRPr="001D1833" w:rsidRDefault="004371C2" w:rsidP="000356F5">
      <w:pPr>
        <w:pStyle w:val="NoSpacing"/>
        <w:ind w:firstLine="709"/>
        <w:jc w:val="both"/>
        <w:rPr>
          <w:i/>
        </w:rPr>
      </w:pPr>
    </w:p>
    <w:p w14:paraId="47BA4A5A" w14:textId="77777777" w:rsidR="004371C2" w:rsidRPr="007A051C" w:rsidRDefault="004371C2" w:rsidP="000356F5">
      <w:pPr>
        <w:pStyle w:val="NoSpacing"/>
        <w:ind w:firstLine="709"/>
        <w:jc w:val="both"/>
      </w:pPr>
      <w:r w:rsidRPr="007A051C">
        <w:t>Въвеждането на еврото няма да изменя или отменя действието на съществуващите договори. Всички договори, включително за търговия с финансови инструменти в левове или с препратки към българския лев</w:t>
      </w:r>
      <w:r w:rsidR="00766AC4" w:rsidRPr="007A051C">
        <w:t>,</w:t>
      </w:r>
      <w:r w:rsidRPr="007A051C">
        <w:t xml:space="preserve"> ще продължат действието си след присъединяването на Република България към еврозоната.</w:t>
      </w:r>
    </w:p>
    <w:p w14:paraId="50C3414D" w14:textId="77777777" w:rsidR="00FA09CA" w:rsidRPr="007A051C" w:rsidRDefault="00FA09CA" w:rsidP="000356F5">
      <w:pPr>
        <w:pStyle w:val="NoSpacing"/>
        <w:ind w:firstLine="709"/>
        <w:jc w:val="both"/>
        <w:rPr>
          <w:lang w:val="en-US"/>
        </w:rPr>
      </w:pPr>
    </w:p>
    <w:p w14:paraId="6DAD024F" w14:textId="77777777" w:rsidR="00496968" w:rsidRPr="001D1833" w:rsidRDefault="00496968" w:rsidP="000356F5">
      <w:pPr>
        <w:pStyle w:val="NoSpacing"/>
        <w:ind w:firstLine="709"/>
        <w:jc w:val="both"/>
        <w:rPr>
          <w:i/>
        </w:rPr>
      </w:pPr>
      <w:r w:rsidRPr="001D1833">
        <w:rPr>
          <w:i/>
        </w:rPr>
        <w:t xml:space="preserve">Автоматично </w:t>
      </w:r>
      <w:proofErr w:type="spellStart"/>
      <w:r w:rsidRPr="001D1833">
        <w:rPr>
          <w:i/>
        </w:rPr>
        <w:t>превалутиране</w:t>
      </w:r>
      <w:proofErr w:type="spellEnd"/>
      <w:r w:rsidRPr="001D1833">
        <w:rPr>
          <w:i/>
        </w:rPr>
        <w:t xml:space="preserve"> </w:t>
      </w:r>
      <w:r w:rsidR="00DB25E3" w:rsidRPr="001D1833">
        <w:rPr>
          <w:i/>
        </w:rPr>
        <w:t xml:space="preserve">на </w:t>
      </w:r>
      <w:r w:rsidRPr="001D1833">
        <w:rPr>
          <w:i/>
        </w:rPr>
        <w:t>стойността на безналичните финансови инструменти</w:t>
      </w:r>
    </w:p>
    <w:p w14:paraId="213E7AA6" w14:textId="77777777" w:rsidR="00496968" w:rsidRPr="00F44F40" w:rsidRDefault="00496968" w:rsidP="000356F5">
      <w:pPr>
        <w:pStyle w:val="NoSpacing"/>
        <w:ind w:firstLine="709"/>
        <w:jc w:val="both"/>
      </w:pPr>
    </w:p>
    <w:p w14:paraId="74F40626" w14:textId="3DEDD948" w:rsidR="004A2C78" w:rsidRDefault="004A2C78" w:rsidP="000356F5">
      <w:pPr>
        <w:pStyle w:val="NoSpacing"/>
        <w:ind w:firstLine="709"/>
        <w:jc w:val="both"/>
      </w:pPr>
      <w:r w:rsidRPr="008E633D">
        <w:t xml:space="preserve">На датата на въвеждане на еврото </w:t>
      </w:r>
      <w:r w:rsidR="00496968" w:rsidRPr="00F44F40">
        <w:t xml:space="preserve">пазарният оператор </w:t>
      </w:r>
      <w:r w:rsidR="00FD0DDB" w:rsidRPr="008E633D">
        <w:t xml:space="preserve">„Българска фондова борса“ АД и </w:t>
      </w:r>
      <w:r w:rsidR="00496968" w:rsidRPr="00F44F40">
        <w:t xml:space="preserve">организаторът на многостранна система за търговия </w:t>
      </w:r>
      <w:r w:rsidR="00FD0DDB" w:rsidRPr="008E633D">
        <w:t>ИП „</w:t>
      </w:r>
      <w:proofErr w:type="spellStart"/>
      <w:r w:rsidR="00FD0DDB" w:rsidRPr="008E633D">
        <w:t>Капман</w:t>
      </w:r>
      <w:proofErr w:type="spellEnd"/>
      <w:r w:rsidR="006A239C">
        <w:rPr>
          <w:lang w:val="en-US"/>
        </w:rPr>
        <w:t>”</w:t>
      </w:r>
      <w:r w:rsidRPr="008E633D">
        <w:t xml:space="preserve">, </w:t>
      </w:r>
      <w:proofErr w:type="spellStart"/>
      <w:r w:rsidRPr="00DB25E3">
        <w:t>превалутира</w:t>
      </w:r>
      <w:r w:rsidR="00496968" w:rsidRPr="00DB25E3">
        <w:t>т</w:t>
      </w:r>
      <w:proofErr w:type="spellEnd"/>
      <w:r w:rsidRPr="00DB25E3">
        <w:t xml:space="preserve"> </w:t>
      </w:r>
      <w:r w:rsidR="00BF6245" w:rsidRPr="00DB25E3">
        <w:t>автоматично</w:t>
      </w:r>
      <w:r w:rsidR="00BF6245" w:rsidRPr="008E633D">
        <w:t xml:space="preserve"> </w:t>
      </w:r>
      <w:r w:rsidRPr="008E633D">
        <w:t>от левове в евро пазарната стойност на безналичните финансови инструменти, допуснати до м</w:t>
      </w:r>
      <w:r w:rsidR="00FD0DDB" w:rsidRPr="008E633D">
        <w:t>естата</w:t>
      </w:r>
      <w:r w:rsidRPr="008E633D">
        <w:t xml:space="preserve"> на търговия</w:t>
      </w:r>
      <w:r w:rsidR="00F7637C">
        <w:t xml:space="preserve">, а </w:t>
      </w:r>
      <w:r w:rsidR="00FA09CA" w:rsidRPr="008E633D">
        <w:t xml:space="preserve">"Централен </w:t>
      </w:r>
      <w:proofErr w:type="spellStart"/>
      <w:r w:rsidR="00FA09CA" w:rsidRPr="008E633D">
        <w:t>депозитар</w:t>
      </w:r>
      <w:proofErr w:type="spellEnd"/>
      <w:r w:rsidR="00FA09CA" w:rsidRPr="008E633D">
        <w:t xml:space="preserve">" АД </w:t>
      </w:r>
      <w:proofErr w:type="spellStart"/>
      <w:r w:rsidR="00FA09CA" w:rsidRPr="00DB25E3">
        <w:t>превалутира</w:t>
      </w:r>
      <w:proofErr w:type="spellEnd"/>
      <w:r w:rsidR="00FA09CA" w:rsidRPr="00DB25E3">
        <w:t xml:space="preserve"> автоматично</w:t>
      </w:r>
      <w:r w:rsidR="00FA09CA" w:rsidRPr="008E633D">
        <w:t xml:space="preserve"> от левове в евро </w:t>
      </w:r>
      <w:r w:rsidR="00FA09CA" w:rsidRPr="00DB25E3">
        <w:t>номиналната стойност</w:t>
      </w:r>
      <w:r w:rsidR="00FA09CA" w:rsidRPr="008E633D">
        <w:t xml:space="preserve"> на безналичните финансови инструменти, вписани в централния регистър на ценни книжа </w:t>
      </w:r>
      <w:r w:rsidRPr="008E633D">
        <w:t xml:space="preserve">при спазване на </w:t>
      </w:r>
      <w:r w:rsidR="00D0642F">
        <w:t>посочените по-горе</w:t>
      </w:r>
      <w:r w:rsidR="00DC6E48">
        <w:t xml:space="preserve"> правила за</w:t>
      </w:r>
      <w:r w:rsidRPr="008E633D">
        <w:t xml:space="preserve"> </w:t>
      </w:r>
      <w:proofErr w:type="spellStart"/>
      <w:r w:rsidRPr="008E633D">
        <w:t>превалутиране</w:t>
      </w:r>
      <w:proofErr w:type="spellEnd"/>
      <w:r w:rsidRPr="008E633D">
        <w:t xml:space="preserve"> и закръгляване</w:t>
      </w:r>
      <w:r w:rsidR="00D0642F">
        <w:t>, а именно</w:t>
      </w:r>
      <w:r w:rsidR="00DC6E48">
        <w:t>:</w:t>
      </w:r>
    </w:p>
    <w:p w14:paraId="7B2D1237" w14:textId="77777777" w:rsidR="00D0642F" w:rsidRDefault="00D0642F" w:rsidP="000356F5">
      <w:pPr>
        <w:pStyle w:val="NoSpacing"/>
        <w:ind w:firstLine="709"/>
        <w:jc w:val="both"/>
        <w:rPr>
          <w:lang w:val="en-US"/>
        </w:rPr>
      </w:pPr>
      <w:proofErr w:type="spellStart"/>
      <w:r w:rsidRPr="008E633D">
        <w:lastRenderedPageBreak/>
        <w:t>Превалутирането</w:t>
      </w:r>
      <w:proofErr w:type="spellEnd"/>
      <w:r w:rsidRPr="008E633D">
        <w:t xml:space="preserve"> от левове в евро ще се извършва чрез прилагането на неотменимо фиксирания валутен курс от 1.95583 лева за 1 евро, който </w:t>
      </w:r>
      <w:r>
        <w:t xml:space="preserve">трябва да </w:t>
      </w:r>
      <w:r w:rsidRPr="008E633D">
        <w:t xml:space="preserve">бъде потвърден </w:t>
      </w:r>
      <w:r>
        <w:t>от Съвета чрез</w:t>
      </w:r>
      <w:r w:rsidRPr="008E633D">
        <w:t xml:space="preserve"> изменение на Регламент (EО) № 2866/985.</w:t>
      </w:r>
      <w:r>
        <w:t xml:space="preserve"> </w:t>
      </w:r>
    </w:p>
    <w:p w14:paraId="0B20CA49" w14:textId="77777777" w:rsidR="00D0642F" w:rsidRDefault="00D0642F" w:rsidP="000356F5">
      <w:pPr>
        <w:pStyle w:val="NoSpacing"/>
        <w:ind w:firstLine="709"/>
        <w:jc w:val="both"/>
      </w:pPr>
      <w:proofErr w:type="spellStart"/>
      <w:r w:rsidRPr="00014615">
        <w:t>Превалутирането</w:t>
      </w:r>
      <w:proofErr w:type="spellEnd"/>
      <w:r w:rsidRPr="00014615">
        <w:t xml:space="preserve">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запетая. След посоченото </w:t>
      </w:r>
      <w:proofErr w:type="spellStart"/>
      <w:r w:rsidRPr="00014615">
        <w:t>превалутиране</w:t>
      </w:r>
      <w:proofErr w:type="spellEnd"/>
      <w:r w:rsidRPr="00014615">
        <w:t xml:space="preserve"> получената сума се </w:t>
      </w:r>
      <w:r w:rsidRPr="00DB25E3">
        <w:t>закръглява до втория знак след десетичната запетая</w:t>
      </w:r>
      <w:r w:rsidRPr="00014615">
        <w:t xml:space="preserve"> на базата на третия знак след десетичната запетая в съответствие със </w:t>
      </w:r>
      <w:r>
        <w:t>стандартното</w:t>
      </w:r>
      <w:r w:rsidRPr="00014615">
        <w:t xml:space="preserve"> математическо правило за закръгляване</w:t>
      </w:r>
      <w:r>
        <w:t xml:space="preserve">. </w:t>
      </w:r>
    </w:p>
    <w:p w14:paraId="672DC1D8" w14:textId="77777777" w:rsidR="00D0642F" w:rsidRDefault="00D0642F" w:rsidP="000356F5">
      <w:pPr>
        <w:pStyle w:val="NoSpacing"/>
        <w:ind w:firstLine="709"/>
        <w:jc w:val="both"/>
      </w:pPr>
    </w:p>
    <w:p w14:paraId="08FE7F05" w14:textId="180859FB" w:rsidR="00816396" w:rsidRDefault="00816396" w:rsidP="000356F5">
      <w:pPr>
        <w:pStyle w:val="NoSpacing"/>
        <w:ind w:firstLine="709"/>
        <w:jc w:val="both"/>
      </w:pPr>
      <w:r>
        <w:t>От датата на въвеждане на еврото в Република България номиналната стойност на всички държавни ценни книжа (</w:t>
      </w:r>
      <w:r w:rsidR="00210C05">
        <w:t>ДЦК</w:t>
      </w:r>
      <w:r>
        <w:t xml:space="preserve">) в левове се </w:t>
      </w:r>
      <w:proofErr w:type="spellStart"/>
      <w:r>
        <w:t>превалутират</w:t>
      </w:r>
      <w:proofErr w:type="spellEnd"/>
      <w:r>
        <w:t xml:space="preserve"> от Българска Народна Банка (БНБ) еднократно от левове в евро</w:t>
      </w:r>
      <w:r w:rsidR="00531395">
        <w:t>,</w:t>
      </w:r>
      <w:r>
        <w:t xml:space="preserve"> при спазване на </w:t>
      </w:r>
      <w:r w:rsidR="00210C05">
        <w:t>посоченото по-горе</w:t>
      </w:r>
      <w:r>
        <w:t xml:space="preserve"> правило за </w:t>
      </w:r>
      <w:proofErr w:type="spellStart"/>
      <w:r>
        <w:t>превалутиране</w:t>
      </w:r>
      <w:proofErr w:type="spellEnd"/>
      <w:r>
        <w:t xml:space="preserve"> и закръгляване</w:t>
      </w:r>
      <w:r w:rsidR="00D0642F">
        <w:t>, а именно:</w:t>
      </w:r>
    </w:p>
    <w:p w14:paraId="2FBD6714" w14:textId="77777777" w:rsidR="00D0642F" w:rsidRPr="00D0642F" w:rsidRDefault="00D0642F" w:rsidP="000356F5">
      <w:pPr>
        <w:pStyle w:val="NoSpacing"/>
        <w:ind w:firstLine="709"/>
        <w:jc w:val="both"/>
        <w:rPr>
          <w:lang w:val="en-US"/>
        </w:rPr>
      </w:pPr>
      <w:proofErr w:type="spellStart"/>
      <w:r w:rsidRPr="00D0642F">
        <w:t>Превалутирането</w:t>
      </w:r>
      <w:proofErr w:type="spellEnd"/>
      <w:r w:rsidRPr="00D0642F">
        <w:t xml:space="preserve"> от левове в евро ще се извършва чрез прилагането на неотменимо фиксирания валутен курс от 1.95583 лева за 1 евро, който трябва да бъде потвърден от Съвета чрез изменение на Регламент (EО) № 2866/985. </w:t>
      </w:r>
    </w:p>
    <w:p w14:paraId="10283E43" w14:textId="77777777" w:rsidR="00D0642F" w:rsidRPr="00D0642F" w:rsidRDefault="00D0642F" w:rsidP="000356F5">
      <w:pPr>
        <w:pStyle w:val="NoSpacing"/>
        <w:ind w:firstLine="709"/>
        <w:jc w:val="both"/>
      </w:pPr>
      <w:proofErr w:type="spellStart"/>
      <w:r w:rsidRPr="00D0642F">
        <w:t>Превалутирането</w:t>
      </w:r>
      <w:proofErr w:type="spellEnd"/>
      <w:r w:rsidRPr="00D0642F">
        <w:t xml:space="preserve">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запетая. След посоченото </w:t>
      </w:r>
      <w:proofErr w:type="spellStart"/>
      <w:r w:rsidRPr="00D0642F">
        <w:t>превалутиране</w:t>
      </w:r>
      <w:proofErr w:type="spellEnd"/>
      <w:r w:rsidRPr="00D0642F">
        <w:t xml:space="preserve"> получената сума се закръглява до втория знак след десетичната запетая на базата на третия знак след десетичната запетая в съответствие със стандартното математическо правило за закръгляване. </w:t>
      </w:r>
    </w:p>
    <w:p w14:paraId="62960151" w14:textId="77777777" w:rsidR="00D0642F" w:rsidRPr="00005411" w:rsidRDefault="00D0642F" w:rsidP="000356F5">
      <w:pPr>
        <w:pStyle w:val="NoSpacing"/>
        <w:ind w:firstLine="709"/>
        <w:jc w:val="both"/>
      </w:pPr>
    </w:p>
    <w:p w14:paraId="509CC375" w14:textId="77777777" w:rsidR="00E746FC" w:rsidRPr="00F44F40" w:rsidRDefault="00E746FC" w:rsidP="000356F5">
      <w:pPr>
        <w:pStyle w:val="NoSpacing"/>
        <w:ind w:firstLine="709"/>
        <w:jc w:val="both"/>
      </w:pPr>
      <w:r w:rsidRPr="00F44F40">
        <w:t xml:space="preserve">Сетълментът </w:t>
      </w:r>
      <w:r w:rsidR="00DB25E3">
        <w:t>на</w:t>
      </w:r>
      <w:r w:rsidRPr="00F44F40">
        <w:t xml:space="preserve"> сделки с финансови инструменти, сключени в левове преди датата на въвеждане на еврото в Република България, които ще бъдат приключени на датата на въвеждане на еврото или след нея, се извършва в евро.</w:t>
      </w:r>
    </w:p>
    <w:p w14:paraId="187C06E8" w14:textId="77777777" w:rsidR="00D0642F" w:rsidRDefault="00D0642F" w:rsidP="000356F5">
      <w:pPr>
        <w:pStyle w:val="NoSpacing"/>
        <w:ind w:firstLine="709"/>
        <w:jc w:val="both"/>
      </w:pPr>
    </w:p>
    <w:p w14:paraId="29034FD3" w14:textId="012C3864" w:rsidR="00496968" w:rsidRPr="000356F5" w:rsidRDefault="00496968" w:rsidP="000356F5">
      <w:pPr>
        <w:pStyle w:val="NoSpacing"/>
        <w:ind w:firstLine="709"/>
        <w:jc w:val="both"/>
        <w:rPr>
          <w:b/>
          <w:i/>
        </w:rPr>
      </w:pPr>
      <w:r w:rsidRPr="000356F5">
        <w:rPr>
          <w:b/>
          <w:i/>
        </w:rPr>
        <w:t xml:space="preserve">За дейностите по </w:t>
      </w:r>
      <w:proofErr w:type="spellStart"/>
      <w:r w:rsidRPr="000356F5">
        <w:rPr>
          <w:b/>
          <w:i/>
        </w:rPr>
        <w:t>превалутиране</w:t>
      </w:r>
      <w:proofErr w:type="spellEnd"/>
      <w:r w:rsidRPr="000356F5">
        <w:rPr>
          <w:b/>
          <w:i/>
        </w:rPr>
        <w:t xml:space="preserve"> няма да се събират такси и комисиони.</w:t>
      </w:r>
    </w:p>
    <w:p w14:paraId="7F1A0FD7" w14:textId="77777777" w:rsidR="00F14FB1" w:rsidRPr="000356F5" w:rsidRDefault="00F14FB1" w:rsidP="000356F5">
      <w:pPr>
        <w:pStyle w:val="NoSpacing"/>
        <w:ind w:firstLine="709"/>
        <w:jc w:val="both"/>
        <w:rPr>
          <w:b/>
          <w:i/>
        </w:rPr>
      </w:pPr>
    </w:p>
    <w:p w14:paraId="25DEA22B" w14:textId="77777777" w:rsidR="00496968" w:rsidRPr="001D1833" w:rsidRDefault="00496968" w:rsidP="000356F5">
      <w:pPr>
        <w:pStyle w:val="NoSpacing"/>
        <w:ind w:firstLine="709"/>
        <w:jc w:val="both"/>
        <w:rPr>
          <w:i/>
        </w:rPr>
      </w:pPr>
      <w:r w:rsidRPr="001D1833">
        <w:rPr>
          <w:i/>
        </w:rPr>
        <w:t xml:space="preserve">Правила за </w:t>
      </w:r>
      <w:proofErr w:type="spellStart"/>
      <w:r w:rsidRPr="001D1833">
        <w:rPr>
          <w:i/>
        </w:rPr>
        <w:t>превалутиране</w:t>
      </w:r>
      <w:proofErr w:type="spellEnd"/>
      <w:r w:rsidRPr="001D1833">
        <w:rPr>
          <w:i/>
        </w:rPr>
        <w:t xml:space="preserve"> по видове финансови инструменти</w:t>
      </w:r>
    </w:p>
    <w:p w14:paraId="69001739" w14:textId="77777777" w:rsidR="00496968" w:rsidRPr="001D1833" w:rsidRDefault="00496968" w:rsidP="000356F5">
      <w:pPr>
        <w:pStyle w:val="NoSpacing"/>
        <w:ind w:firstLine="709"/>
        <w:jc w:val="both"/>
        <w:rPr>
          <w:i/>
        </w:rPr>
      </w:pPr>
    </w:p>
    <w:p w14:paraId="4387CA1C" w14:textId="2A5AF4E2" w:rsidR="003C4E53" w:rsidRDefault="00FD0DDB" w:rsidP="000356F5">
      <w:pPr>
        <w:pStyle w:val="NoSpacing"/>
        <w:ind w:firstLine="709"/>
        <w:jc w:val="both"/>
      </w:pPr>
      <w:r w:rsidRPr="008E633D">
        <w:t xml:space="preserve"> </w:t>
      </w:r>
      <w:r w:rsidR="00F14FB1" w:rsidRPr="008E633D">
        <w:t xml:space="preserve">Номиналната стойност на една акция се </w:t>
      </w:r>
      <w:proofErr w:type="spellStart"/>
      <w:r w:rsidR="00F14FB1" w:rsidRPr="008E633D">
        <w:t>превалутира</w:t>
      </w:r>
      <w:proofErr w:type="spellEnd"/>
      <w:r w:rsidR="00F14FB1" w:rsidRPr="008E633D">
        <w:t xml:space="preserve"> от левове в евро, като се раздели на пълната числова стойност на официалния валутен курс и резултатът се закръгли </w:t>
      </w:r>
      <w:r w:rsidR="00C9714A" w:rsidRPr="008E633D">
        <w:t>при спазване на посочен</w:t>
      </w:r>
      <w:r w:rsidR="00DB25E3">
        <w:t>ото</w:t>
      </w:r>
      <w:r w:rsidR="00C9714A" w:rsidRPr="008E633D">
        <w:t xml:space="preserve"> по-горе правил</w:t>
      </w:r>
      <w:r w:rsidR="00DB25E3">
        <w:t xml:space="preserve">о за </w:t>
      </w:r>
      <w:proofErr w:type="spellStart"/>
      <w:r w:rsidR="00DB25E3">
        <w:t>превалутиране</w:t>
      </w:r>
      <w:proofErr w:type="spellEnd"/>
      <w:r w:rsidR="00DB25E3">
        <w:t xml:space="preserve"> и закръгляване</w:t>
      </w:r>
      <w:r w:rsidR="00D0642F">
        <w:t>, а именно:</w:t>
      </w:r>
    </w:p>
    <w:p w14:paraId="6AD5DE4B" w14:textId="77777777" w:rsidR="00D0642F" w:rsidRPr="00D0642F" w:rsidRDefault="00D0642F" w:rsidP="000356F5">
      <w:pPr>
        <w:pStyle w:val="NoSpacing"/>
        <w:ind w:firstLine="709"/>
        <w:jc w:val="both"/>
      </w:pPr>
      <w:proofErr w:type="spellStart"/>
      <w:r w:rsidRPr="00D0642F">
        <w:t>Превалутирането</w:t>
      </w:r>
      <w:proofErr w:type="spellEnd"/>
      <w:r w:rsidRPr="00D0642F">
        <w:t xml:space="preserve"> от левове в евро ще се извършва чрез прилагането на неотменимо фиксирания валутен курс от 1.95583 лева за 1 евро, който трябва да бъде потвърден от Съвета чрез изменение на Регламент (EО) № 2866/985. </w:t>
      </w:r>
    </w:p>
    <w:p w14:paraId="5AA24399" w14:textId="65EE14E5" w:rsidR="00D0642F" w:rsidRPr="00D0642F" w:rsidRDefault="00D0642F" w:rsidP="000356F5">
      <w:pPr>
        <w:pStyle w:val="NoSpacing"/>
        <w:ind w:firstLine="709"/>
        <w:jc w:val="both"/>
      </w:pPr>
      <w:proofErr w:type="spellStart"/>
      <w:r w:rsidRPr="00D0642F">
        <w:t>Превалутирането</w:t>
      </w:r>
      <w:proofErr w:type="spellEnd"/>
      <w:r w:rsidRPr="00D0642F">
        <w:t xml:space="preserve">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запетая. След посоченото </w:t>
      </w:r>
      <w:proofErr w:type="spellStart"/>
      <w:r w:rsidRPr="00D0642F">
        <w:t>превалутиране</w:t>
      </w:r>
      <w:proofErr w:type="spellEnd"/>
      <w:r w:rsidRPr="00D0642F">
        <w:t xml:space="preserve"> получената сума се закръглява до втория знак след десетичната запетая на базата на третия знак след десетичната запетая в съответствие със стандартното математическо правило за закръгляване.</w:t>
      </w:r>
    </w:p>
    <w:p w14:paraId="4B617D4C" w14:textId="331F61FB" w:rsidR="00F85724" w:rsidRPr="00D0642F" w:rsidRDefault="003C4E53" w:rsidP="000356F5">
      <w:pPr>
        <w:pStyle w:val="NoSpacing"/>
        <w:ind w:firstLine="709"/>
        <w:jc w:val="both"/>
      </w:pPr>
      <w:r w:rsidRPr="008E633D">
        <w:t xml:space="preserve">Общата номинална стойност на емисия дългови ценни книжа, различни от държавни ценни книжа, се </w:t>
      </w:r>
      <w:proofErr w:type="spellStart"/>
      <w:r w:rsidRPr="008E633D">
        <w:t>превалутира</w:t>
      </w:r>
      <w:proofErr w:type="spellEnd"/>
      <w:r w:rsidRPr="008E633D">
        <w:t xml:space="preserve"> при спазване на посочен</w:t>
      </w:r>
      <w:r w:rsidR="00DB25E3">
        <w:t>ото</w:t>
      </w:r>
      <w:r w:rsidRPr="008E633D">
        <w:t xml:space="preserve"> правил</w:t>
      </w:r>
      <w:r w:rsidR="00DB25E3">
        <w:t>о</w:t>
      </w:r>
      <w:r w:rsidRPr="008E633D">
        <w:t>. Единичната номинална стойност на безналични дългови ценни книжа, различни от държавни ценни книжа, се изчислява, като получената стойност в евро се раздели на броя издадени дългови ценни книжа от съответната емисия.</w:t>
      </w:r>
      <w:r w:rsidR="00EC0AD9">
        <w:t xml:space="preserve"> </w:t>
      </w:r>
      <w:r w:rsidRPr="00470DA0">
        <w:t>От датата на въвеждане на еврото в Република България номиналната стойност на всички държавни ценни книжа</w:t>
      </w:r>
      <w:r w:rsidR="0016588F">
        <w:t xml:space="preserve"> в левове се </w:t>
      </w:r>
      <w:proofErr w:type="spellStart"/>
      <w:r w:rsidR="0016588F">
        <w:t>превалутира</w:t>
      </w:r>
      <w:proofErr w:type="spellEnd"/>
      <w:r w:rsidR="0016588F">
        <w:t xml:space="preserve"> еднократно от левове в евро при спазване на посоченото правило</w:t>
      </w:r>
      <w:r w:rsidR="00D0642F">
        <w:t>, а именно:</w:t>
      </w:r>
      <w:r w:rsidR="0016588F">
        <w:t xml:space="preserve"> </w:t>
      </w:r>
    </w:p>
    <w:p w14:paraId="10E5749D" w14:textId="77777777" w:rsidR="00D0642F" w:rsidRPr="00D0642F" w:rsidRDefault="00D0642F" w:rsidP="000356F5">
      <w:pPr>
        <w:pStyle w:val="NoSpacing"/>
        <w:ind w:firstLine="709"/>
        <w:jc w:val="both"/>
      </w:pPr>
      <w:proofErr w:type="spellStart"/>
      <w:r w:rsidRPr="00D0642F">
        <w:lastRenderedPageBreak/>
        <w:t>Превалутирането</w:t>
      </w:r>
      <w:proofErr w:type="spellEnd"/>
      <w:r w:rsidRPr="00D0642F">
        <w:t xml:space="preserve"> от левове в евро ще се извършва чрез прилагането на неотменимо фиксирания валутен курс от 1.95583 лева за 1 евро, който трябва да бъде потвърден от Съвета чрез изменение на Регламент (EО) № 2866/985. </w:t>
      </w:r>
    </w:p>
    <w:p w14:paraId="26FC9F79" w14:textId="4DB7719E" w:rsidR="00D0642F" w:rsidRPr="00D0642F" w:rsidRDefault="00D0642F" w:rsidP="000356F5">
      <w:pPr>
        <w:pStyle w:val="NoSpacing"/>
        <w:ind w:firstLine="709"/>
        <w:jc w:val="both"/>
      </w:pPr>
      <w:proofErr w:type="spellStart"/>
      <w:r w:rsidRPr="00D0642F">
        <w:t>Превалутирането</w:t>
      </w:r>
      <w:proofErr w:type="spellEnd"/>
      <w:r w:rsidRPr="00D0642F">
        <w:t xml:space="preserve">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запетая. След посоченото </w:t>
      </w:r>
      <w:proofErr w:type="spellStart"/>
      <w:r w:rsidRPr="00D0642F">
        <w:t>превалутиране</w:t>
      </w:r>
      <w:proofErr w:type="spellEnd"/>
      <w:r w:rsidRPr="00D0642F">
        <w:t xml:space="preserve"> получената сума се закръглява до втория знак след десетичната запетая на базата на третия знак след десетичната запетая в съответствие със стандартното математическо правило за закръгляване.</w:t>
      </w:r>
    </w:p>
    <w:p w14:paraId="0C4F61AD" w14:textId="2E48CEC4" w:rsidR="00005411" w:rsidRDefault="00703441" w:rsidP="000356F5">
      <w:pPr>
        <w:pStyle w:val="NoSpacing"/>
        <w:ind w:firstLine="709"/>
        <w:jc w:val="both"/>
      </w:pPr>
      <w:r w:rsidRPr="00F44F40">
        <w:t>Н</w:t>
      </w:r>
      <w:r w:rsidR="00931761" w:rsidRPr="00F44F40">
        <w:t xml:space="preserve">етната стойност на активите </w:t>
      </w:r>
      <w:r w:rsidR="00931761" w:rsidRPr="008E633D">
        <w:t xml:space="preserve">на </w:t>
      </w:r>
      <w:r w:rsidRPr="008E633D">
        <w:t>колективн</w:t>
      </w:r>
      <w:r w:rsidR="00DB25E3">
        <w:t>ите</w:t>
      </w:r>
      <w:r w:rsidRPr="008E633D">
        <w:t xml:space="preserve"> инвестиционн</w:t>
      </w:r>
      <w:r w:rsidR="00DB25E3">
        <w:t>и</w:t>
      </w:r>
      <w:r w:rsidRPr="008E633D">
        <w:t xml:space="preserve"> схем</w:t>
      </w:r>
      <w:r w:rsidR="00DB25E3">
        <w:t>и</w:t>
      </w:r>
      <w:r w:rsidRPr="008E633D">
        <w:t>, националните инвестиционни фондове и алтернативните инвестиционни фондове</w:t>
      </w:r>
      <w:r w:rsidRPr="00F44F40">
        <w:t xml:space="preserve"> в евро</w:t>
      </w:r>
      <w:r w:rsidR="00931761" w:rsidRPr="00F44F40">
        <w:t xml:space="preserve"> се изчислява, като се раздели на пълната числова стойност на официалния валутен курс и резултатът се закръгли </w:t>
      </w:r>
      <w:r w:rsidRPr="00F44F40">
        <w:t>при спазване на посочен</w:t>
      </w:r>
      <w:r w:rsidR="00DB25E3">
        <w:t>ото</w:t>
      </w:r>
      <w:r w:rsidRPr="00F44F40">
        <w:t xml:space="preserve"> </w:t>
      </w:r>
      <w:r w:rsidR="00D0642F">
        <w:t xml:space="preserve">по-горе </w:t>
      </w:r>
      <w:r w:rsidRPr="00F44F40">
        <w:t>правил</w:t>
      </w:r>
      <w:r w:rsidR="00DB25E3">
        <w:t>о</w:t>
      </w:r>
      <w:r w:rsidRPr="00F44F40">
        <w:t xml:space="preserve">. </w:t>
      </w:r>
      <w:r w:rsidR="007A141F" w:rsidRPr="00F44F40">
        <w:t xml:space="preserve">Нетната стойност на активите </w:t>
      </w:r>
      <w:r w:rsidR="00503F39" w:rsidRPr="00F44F40">
        <w:t xml:space="preserve">за </w:t>
      </w:r>
      <w:r w:rsidR="007A141F" w:rsidRPr="00F44F40">
        <w:t xml:space="preserve">един дял в евро се изчислява, като </w:t>
      </w:r>
      <w:proofErr w:type="spellStart"/>
      <w:r w:rsidR="007A141F" w:rsidRPr="00F44F40">
        <w:t>превалутираната</w:t>
      </w:r>
      <w:proofErr w:type="spellEnd"/>
      <w:r w:rsidR="007A141F" w:rsidRPr="00F44F40">
        <w:t xml:space="preserve"> нетна стойност на активите се раздели на броя дялове в обращение и получената стойност се закръгли с точност до четвъртия знак след десетичната запетая по </w:t>
      </w:r>
      <w:r w:rsidR="00526423" w:rsidRPr="00F44F40">
        <w:t>стандартното математическо правило</w:t>
      </w:r>
      <w:r w:rsidR="00503F39" w:rsidRPr="00F44F40">
        <w:t>.</w:t>
      </w:r>
    </w:p>
    <w:p w14:paraId="76E585EC" w14:textId="555B108E" w:rsidR="007A141F" w:rsidRDefault="003C0EFF" w:rsidP="000356F5">
      <w:pPr>
        <w:pStyle w:val="NoSpacing"/>
        <w:ind w:firstLine="709"/>
        <w:jc w:val="both"/>
      </w:pPr>
      <w:r w:rsidRPr="00005411">
        <w:t xml:space="preserve">Издадените преди въвеждането на еврото в Република България удостоверителни документи за притежаване на </w:t>
      </w:r>
      <w:r w:rsidRPr="003C20B4">
        <w:t>компенсаторни инструменти</w:t>
      </w:r>
      <w:r w:rsidRPr="00005411">
        <w:t xml:space="preserve">, в които е посочена левова равностойност, се използват за неограничен срок след въвеждането на еврото в Република България. Централният депозитар по искане на притежател, направено чрез банка или инвестиционен посредник </w:t>
      </w:r>
      <w:r w:rsidR="00D0642F">
        <w:t>–</w:t>
      </w:r>
      <w:r w:rsidRPr="00005411">
        <w:t xml:space="preserve"> </w:t>
      </w:r>
      <w:r w:rsidRPr="00D0642F">
        <w:t xml:space="preserve">член на депозитаря, заменя безплатно удостоверителните документи за притежаване на компенсаторни инструменти с посочена стойност в левове с нови, в които стойността на компенсаторните записи е посочена в евро, при спазване на </w:t>
      </w:r>
      <w:r w:rsidR="00210C05" w:rsidRPr="00D0642F">
        <w:t>посоченото по-горе</w:t>
      </w:r>
      <w:r w:rsidRPr="00D0642F">
        <w:t xml:space="preserve"> право за </w:t>
      </w:r>
      <w:proofErr w:type="spellStart"/>
      <w:r w:rsidRPr="00D0642F">
        <w:t>превалутиране</w:t>
      </w:r>
      <w:proofErr w:type="spellEnd"/>
      <w:r w:rsidR="00557013" w:rsidRPr="00D0642F">
        <w:t xml:space="preserve"> и закръгляване</w:t>
      </w:r>
      <w:r w:rsidR="00D0642F">
        <w:t>, а именно:</w:t>
      </w:r>
    </w:p>
    <w:p w14:paraId="73DFAAA9" w14:textId="77777777" w:rsidR="00D0642F" w:rsidRPr="00D0642F" w:rsidRDefault="00D0642F" w:rsidP="000356F5">
      <w:pPr>
        <w:pStyle w:val="NoSpacing"/>
        <w:ind w:firstLine="709"/>
        <w:jc w:val="both"/>
      </w:pPr>
      <w:proofErr w:type="spellStart"/>
      <w:r w:rsidRPr="00D0642F">
        <w:t>Превалутирането</w:t>
      </w:r>
      <w:proofErr w:type="spellEnd"/>
      <w:r w:rsidRPr="00D0642F">
        <w:t xml:space="preserve"> от левове в евро ще се извършва чрез прилагането на неотменимо фиксирания валутен курс от 1.95583 лева за 1 евро, който трябва да бъде потвърден от Съвета чрез изменение на Регламент (EО) № 2866/985. </w:t>
      </w:r>
    </w:p>
    <w:p w14:paraId="36A7750C" w14:textId="66A305DC" w:rsidR="00D0642F" w:rsidRPr="00D0642F" w:rsidRDefault="00D0642F" w:rsidP="000356F5">
      <w:pPr>
        <w:pStyle w:val="NoSpacing"/>
        <w:ind w:firstLine="709"/>
        <w:jc w:val="both"/>
      </w:pPr>
      <w:proofErr w:type="spellStart"/>
      <w:r w:rsidRPr="00D0642F">
        <w:t>Превалутирането</w:t>
      </w:r>
      <w:proofErr w:type="spellEnd"/>
      <w:r w:rsidRPr="00D0642F">
        <w:t xml:space="preserve">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запетая. След посоченото </w:t>
      </w:r>
      <w:proofErr w:type="spellStart"/>
      <w:r w:rsidRPr="00D0642F">
        <w:t>превалутиране</w:t>
      </w:r>
      <w:proofErr w:type="spellEnd"/>
      <w:r w:rsidRPr="00D0642F">
        <w:t xml:space="preserve"> получената сума се закръглява до втория знак след десетичната запетая на базата на третия знак след десетичната запетая в съответствие със стандартното математическо правило за закръгляване.</w:t>
      </w:r>
    </w:p>
    <w:p w14:paraId="5B44031F" w14:textId="77777777" w:rsidR="00005411" w:rsidRDefault="00005411" w:rsidP="000356F5">
      <w:pPr>
        <w:pStyle w:val="NoSpacing"/>
        <w:ind w:firstLine="709"/>
        <w:jc w:val="both"/>
      </w:pPr>
    </w:p>
    <w:p w14:paraId="5E4FA319" w14:textId="5C62F453" w:rsidR="00904115" w:rsidRPr="001D1833" w:rsidRDefault="00904115" w:rsidP="000356F5">
      <w:pPr>
        <w:pStyle w:val="NoSpacing"/>
        <w:ind w:firstLine="709"/>
        <w:jc w:val="both"/>
        <w:rPr>
          <w:i/>
          <w:lang w:val="en-US"/>
        </w:rPr>
      </w:pPr>
      <w:r w:rsidRPr="001D1833">
        <w:rPr>
          <w:i/>
        </w:rPr>
        <w:t xml:space="preserve">Период на двойно обозначаване </w:t>
      </w:r>
    </w:p>
    <w:p w14:paraId="3030D35E" w14:textId="77777777" w:rsidR="00760F7A" w:rsidRPr="001D1833" w:rsidRDefault="00760F7A" w:rsidP="000356F5">
      <w:pPr>
        <w:pStyle w:val="NoSpacing"/>
        <w:ind w:firstLine="709"/>
        <w:jc w:val="both"/>
        <w:rPr>
          <w:i/>
        </w:rPr>
      </w:pPr>
    </w:p>
    <w:p w14:paraId="5C299C75" w14:textId="462DD124" w:rsidR="00E90C43" w:rsidRPr="00F44F40" w:rsidRDefault="00E90C43" w:rsidP="000356F5">
      <w:pPr>
        <w:pStyle w:val="NoSpacing"/>
        <w:ind w:firstLine="709"/>
        <w:jc w:val="both"/>
      </w:pPr>
      <w:r w:rsidRPr="00F44F40">
        <w:t xml:space="preserve">Периодът на двойно обозначаване в лева и евро започва един месец след датата на </w:t>
      </w:r>
      <w:r w:rsidR="00ED3E97" w:rsidRPr="00ED3E97">
        <w:t xml:space="preserve">влизане в сила </w:t>
      </w:r>
      <w:r w:rsidR="00CE0F1B">
        <w:t xml:space="preserve">на </w:t>
      </w:r>
      <w:r w:rsidR="00ED3E97" w:rsidRPr="00ED3E97">
        <w:t>Решението</w:t>
      </w:r>
      <w:r w:rsidR="00ED3E97">
        <w:t xml:space="preserve"> </w:t>
      </w:r>
      <w:r w:rsidR="00557013">
        <w:t xml:space="preserve">за приемането на еврото </w:t>
      </w:r>
      <w:r w:rsidRPr="00F44F40">
        <w:t xml:space="preserve">и приключва 12 месеца след датата на въвеждане на еврото. </w:t>
      </w:r>
    </w:p>
    <w:p w14:paraId="43641024" w14:textId="77777777" w:rsidR="00AC56AA" w:rsidRPr="00F44F40" w:rsidRDefault="00904115" w:rsidP="000356F5">
      <w:pPr>
        <w:pStyle w:val="NoSpacing"/>
        <w:ind w:firstLine="709"/>
        <w:jc w:val="both"/>
      </w:pPr>
      <w:r w:rsidRPr="00F44F40">
        <w:t xml:space="preserve">За </w:t>
      </w:r>
      <w:r w:rsidR="00E90C43" w:rsidRPr="00F44F40">
        <w:t xml:space="preserve">този период </w:t>
      </w:r>
      <w:r w:rsidR="00760F7A" w:rsidRPr="00F44F40">
        <w:t>инвестиционните посредници обозначават</w:t>
      </w:r>
      <w:r w:rsidRPr="00F44F40">
        <w:t xml:space="preserve"> </w:t>
      </w:r>
      <w:r w:rsidR="00F44F40" w:rsidRPr="00F44F40">
        <w:t>двойно</w:t>
      </w:r>
      <w:r w:rsidR="000B197C" w:rsidRPr="00F44F40">
        <w:t xml:space="preserve"> размера на таксите и комисионите за предоставяните </w:t>
      </w:r>
      <w:r w:rsidR="00D0297C" w:rsidRPr="00F44F40">
        <w:t xml:space="preserve">от тях </w:t>
      </w:r>
      <w:r w:rsidR="000B197C" w:rsidRPr="00F44F40">
        <w:t xml:space="preserve">услуги. </w:t>
      </w:r>
      <w:r w:rsidR="005D5F3E" w:rsidRPr="00F44F40">
        <w:t xml:space="preserve">Информацията </w:t>
      </w:r>
      <w:r w:rsidR="00DB25E3">
        <w:t xml:space="preserve">се </w:t>
      </w:r>
      <w:r w:rsidR="005D5F3E" w:rsidRPr="00F44F40">
        <w:t xml:space="preserve">оповестява в офисите и на интернет страниците на инвестиционните посредници, както и безплатно на хартиен или на друг траен носител при поискване от клиент. </w:t>
      </w:r>
    </w:p>
    <w:p w14:paraId="70CC1489" w14:textId="1B6B73EE" w:rsidR="00F44F40" w:rsidRPr="00F44F40" w:rsidRDefault="000B197C" w:rsidP="000356F5">
      <w:pPr>
        <w:pStyle w:val="NoSpacing"/>
        <w:ind w:firstLine="709"/>
        <w:jc w:val="both"/>
      </w:pPr>
      <w:r w:rsidRPr="00F44F40">
        <w:t xml:space="preserve">За </w:t>
      </w:r>
      <w:r w:rsidR="00DB25E3">
        <w:t>този</w:t>
      </w:r>
      <w:r w:rsidRPr="00F44F40">
        <w:t xml:space="preserve"> период инвестиционните посредници обозначават </w:t>
      </w:r>
      <w:r w:rsidR="00F44F40" w:rsidRPr="00F44F40">
        <w:t>двойно</w:t>
      </w:r>
      <w:r w:rsidRPr="00F44F40">
        <w:t xml:space="preserve"> </w:t>
      </w:r>
      <w:r w:rsidR="00F44F40" w:rsidRPr="00F44F40">
        <w:t xml:space="preserve">и </w:t>
      </w:r>
      <w:r w:rsidRPr="00F44F40">
        <w:t>баланса на паричните средства по левова сметка на клиента, общата стойност на фин</w:t>
      </w:r>
      <w:r w:rsidR="00AC56AA" w:rsidRPr="00F44F40">
        <w:t xml:space="preserve">ансовите </w:t>
      </w:r>
      <w:r w:rsidR="00AC56AA" w:rsidRPr="00195CCE">
        <w:t>инструменти на клиента</w:t>
      </w:r>
      <w:r w:rsidR="00085D3C" w:rsidRPr="00195CCE">
        <w:t xml:space="preserve"> и</w:t>
      </w:r>
      <w:r w:rsidR="00AC56AA" w:rsidRPr="00195CCE">
        <w:t xml:space="preserve"> </w:t>
      </w:r>
      <w:r w:rsidRPr="00195CCE">
        <w:t>информация</w:t>
      </w:r>
      <w:r w:rsidRPr="00F44F40">
        <w:t xml:space="preserve"> за таксите и разходите</w:t>
      </w:r>
      <w:r w:rsidR="00AC56AA" w:rsidRPr="00F44F40">
        <w:t xml:space="preserve"> </w:t>
      </w:r>
      <w:r w:rsidR="00D0297C" w:rsidRPr="00F44F40">
        <w:t xml:space="preserve">във връзка с </w:t>
      </w:r>
      <w:r w:rsidR="00AC56AA" w:rsidRPr="00F44F40">
        <w:t xml:space="preserve">предоставянето </w:t>
      </w:r>
      <w:r w:rsidR="00D0297C" w:rsidRPr="00F44F40">
        <w:t xml:space="preserve">на </w:t>
      </w:r>
      <w:r w:rsidR="00B86EA1" w:rsidRPr="00F44F40">
        <w:t xml:space="preserve">инвестиционни и допълнителни услуги на </w:t>
      </w:r>
      <w:r w:rsidR="00D0297C" w:rsidRPr="00F44F40">
        <w:t>непрофесионални клиенти</w:t>
      </w:r>
      <w:r w:rsidRPr="00F44F40">
        <w:t>.</w:t>
      </w:r>
      <w:r w:rsidR="00A3466B" w:rsidRPr="00F44F40">
        <w:t xml:space="preserve"> </w:t>
      </w:r>
    </w:p>
    <w:p w14:paraId="1405C843" w14:textId="68B57FF6" w:rsidR="001E1DB1" w:rsidRDefault="001E1DB1" w:rsidP="000356F5">
      <w:pPr>
        <w:pStyle w:val="NoSpacing"/>
        <w:ind w:firstLine="709"/>
        <w:jc w:val="both"/>
      </w:pPr>
      <w:r w:rsidRPr="001E1DB1">
        <w:t>Важно е да знаете, че  по отношение на сметки на клиенти, водени до момента във валута</w:t>
      </w:r>
      <w:r>
        <w:t>,</w:t>
      </w:r>
      <w:r w:rsidRPr="001E1DB1">
        <w:t xml:space="preserve"> различна от лева</w:t>
      </w:r>
      <w:r>
        <w:t>,</w:t>
      </w:r>
      <w:r w:rsidRPr="001E1DB1">
        <w:t xml:space="preserve"> по които отчетната информация и съответните такси и комисиони са били </w:t>
      </w:r>
      <w:r>
        <w:t>във</w:t>
      </w:r>
      <w:r w:rsidRPr="001E1DB1">
        <w:t xml:space="preserve"> валута, различна от лева, изискванията </w:t>
      </w:r>
      <w:r w:rsidR="00DB25E3">
        <w:t>з</w:t>
      </w:r>
      <w:r w:rsidRPr="001E1DB1">
        <w:t xml:space="preserve">а двойно обозначаване не се прилагат. </w:t>
      </w:r>
      <w:r>
        <w:t>За</w:t>
      </w:r>
      <w:r w:rsidRPr="001E1DB1">
        <w:t xml:space="preserve"> тези </w:t>
      </w:r>
      <w:r>
        <w:t>сметки</w:t>
      </w:r>
      <w:r w:rsidRPr="001E1DB1">
        <w:t xml:space="preserve"> отчетност</w:t>
      </w:r>
      <w:r>
        <w:t>та</w:t>
      </w:r>
      <w:r w:rsidRPr="001E1DB1">
        <w:t xml:space="preserve"> и </w:t>
      </w:r>
      <w:r>
        <w:t xml:space="preserve">начисляването на </w:t>
      </w:r>
      <w:r w:rsidRPr="001E1DB1">
        <w:t xml:space="preserve">такси и комисиони </w:t>
      </w:r>
      <w:r>
        <w:t>остават</w:t>
      </w:r>
      <w:r w:rsidRPr="001E1DB1">
        <w:t xml:space="preserve"> </w:t>
      </w:r>
      <w:r>
        <w:t>същите, каквито са били преди въвеждането на еврото</w:t>
      </w:r>
      <w:r w:rsidRPr="001E1DB1">
        <w:t>.</w:t>
      </w:r>
    </w:p>
    <w:p w14:paraId="15FAF449" w14:textId="77777777" w:rsidR="000356F5" w:rsidRDefault="000356F5" w:rsidP="000356F5">
      <w:pPr>
        <w:pStyle w:val="NoSpacing"/>
        <w:ind w:firstLine="709"/>
        <w:jc w:val="both"/>
      </w:pPr>
    </w:p>
    <w:p w14:paraId="577A47EB" w14:textId="77777777" w:rsidR="000356F5" w:rsidRPr="001E1DB1" w:rsidRDefault="000356F5" w:rsidP="000356F5">
      <w:pPr>
        <w:pStyle w:val="NoSpacing"/>
        <w:ind w:firstLine="709"/>
        <w:jc w:val="both"/>
      </w:pPr>
    </w:p>
    <w:p w14:paraId="3CE07D45" w14:textId="77777777" w:rsidR="00F655CE" w:rsidRPr="001D1833" w:rsidRDefault="00F655CE" w:rsidP="000356F5">
      <w:pPr>
        <w:pStyle w:val="NoSpacing"/>
        <w:ind w:firstLine="709"/>
        <w:jc w:val="both"/>
        <w:rPr>
          <w:i/>
        </w:rPr>
      </w:pPr>
      <w:r w:rsidRPr="001D1833">
        <w:rPr>
          <w:i/>
        </w:rPr>
        <w:t>Период на двойно обращение</w:t>
      </w:r>
    </w:p>
    <w:p w14:paraId="0B328C1F" w14:textId="77777777" w:rsidR="00F655CE" w:rsidRPr="001D1833" w:rsidRDefault="00F655CE" w:rsidP="000356F5">
      <w:pPr>
        <w:pStyle w:val="NoSpacing"/>
        <w:ind w:firstLine="709"/>
        <w:jc w:val="both"/>
        <w:rPr>
          <w:i/>
        </w:rPr>
      </w:pPr>
    </w:p>
    <w:p w14:paraId="2D3642C0" w14:textId="6FF2738D" w:rsidR="00C06AD1" w:rsidRDefault="00FD689E" w:rsidP="000356F5">
      <w:pPr>
        <w:pStyle w:val="NoSpacing"/>
        <w:ind w:firstLine="709"/>
        <w:jc w:val="both"/>
      </w:pPr>
      <w:r w:rsidRPr="001E1DB1">
        <w:t xml:space="preserve">За период от един месец </w:t>
      </w:r>
      <w:r w:rsidR="00210C05">
        <w:t>от</w:t>
      </w:r>
      <w:r w:rsidR="00210C05" w:rsidRPr="001E1DB1">
        <w:t xml:space="preserve"> </w:t>
      </w:r>
      <w:r w:rsidRPr="001E1DB1">
        <w:t>дата</w:t>
      </w:r>
      <w:r w:rsidR="00557013">
        <w:t xml:space="preserve">та </w:t>
      </w:r>
      <w:r w:rsidRPr="001E1DB1">
        <w:t>на въвеждане</w:t>
      </w:r>
      <w:r w:rsidR="001E1DB1" w:rsidRPr="001E1DB1">
        <w:t xml:space="preserve"> на еврото</w:t>
      </w:r>
      <w:r w:rsidRPr="001E1DB1">
        <w:rPr>
          <w:i/>
          <w:iCs/>
        </w:rPr>
        <w:t xml:space="preserve"> </w:t>
      </w:r>
      <w:r w:rsidRPr="001E1DB1">
        <w:t xml:space="preserve">банкнотите и монетите в левове продължават да бъдат законно платежно средство на територията на Република България. В периода </w:t>
      </w:r>
      <w:r w:rsidR="00625270" w:rsidRPr="001E1DB1">
        <w:t xml:space="preserve">на двойното обращение </w:t>
      </w:r>
      <w:r w:rsidR="00AC56AA" w:rsidRPr="001E1DB1">
        <w:t>инвестиционните посредници</w:t>
      </w:r>
      <w:r w:rsidR="00625270" w:rsidRPr="001E1DB1">
        <w:t xml:space="preserve"> </w:t>
      </w:r>
      <w:r w:rsidR="00B86EA1" w:rsidRPr="001E1DB1">
        <w:t xml:space="preserve">за целите на дейността си </w:t>
      </w:r>
      <w:r w:rsidR="00625270" w:rsidRPr="001E1DB1">
        <w:t>ще приема</w:t>
      </w:r>
      <w:r w:rsidR="00AC56AA" w:rsidRPr="001E1DB1">
        <w:t>т</w:t>
      </w:r>
      <w:r w:rsidR="00625270" w:rsidRPr="001E1DB1">
        <w:t xml:space="preserve"> суми в брой </w:t>
      </w:r>
      <w:r w:rsidR="00C06AD1">
        <w:t xml:space="preserve">както </w:t>
      </w:r>
      <w:r w:rsidR="00B86EA1" w:rsidRPr="001E1DB1">
        <w:t>в левове</w:t>
      </w:r>
      <w:r w:rsidR="00C06AD1">
        <w:t>, така</w:t>
      </w:r>
      <w:r w:rsidR="00B86EA1" w:rsidRPr="001E1DB1">
        <w:t xml:space="preserve"> и </w:t>
      </w:r>
      <w:r w:rsidR="00C06AD1">
        <w:t xml:space="preserve">в </w:t>
      </w:r>
      <w:r w:rsidR="00B86EA1" w:rsidRPr="001E1DB1">
        <w:t xml:space="preserve">евро </w:t>
      </w:r>
      <w:r w:rsidR="00AC56AA" w:rsidRPr="001E1DB1">
        <w:t xml:space="preserve">и следва да </w:t>
      </w:r>
      <w:r w:rsidR="00625270" w:rsidRPr="001E1DB1">
        <w:t>връща</w:t>
      </w:r>
      <w:r w:rsidR="00AC56AA" w:rsidRPr="001E1DB1">
        <w:t>т</w:t>
      </w:r>
      <w:r w:rsidR="00625270" w:rsidRPr="001E1DB1">
        <w:t xml:space="preserve"> остатъка</w:t>
      </w:r>
      <w:r w:rsidR="00AC56AA" w:rsidRPr="001E1DB1">
        <w:t xml:space="preserve"> изцяло в евро при условие, че имат достатъчна наличност. </w:t>
      </w:r>
    </w:p>
    <w:p w14:paraId="15AB9027" w14:textId="77777777" w:rsidR="00FD689E" w:rsidRDefault="00AC56AA" w:rsidP="000356F5">
      <w:pPr>
        <w:pStyle w:val="NoSpacing"/>
        <w:ind w:firstLine="709"/>
        <w:jc w:val="both"/>
      </w:pPr>
      <w:r w:rsidRPr="001E1DB1">
        <w:t xml:space="preserve">Инвестиционните посредници могат да не </w:t>
      </w:r>
      <w:r w:rsidR="00625270" w:rsidRPr="001E1DB1">
        <w:t>приема</w:t>
      </w:r>
      <w:r w:rsidRPr="001E1DB1">
        <w:t>т</w:t>
      </w:r>
      <w:r w:rsidR="00625270" w:rsidRPr="001E1DB1">
        <w:t xml:space="preserve"> повече от 50 броя монети в левове, включително стотинки, при една трансакция</w:t>
      </w:r>
      <w:r w:rsidR="00833447" w:rsidRPr="001E1DB1">
        <w:t>.</w:t>
      </w:r>
    </w:p>
    <w:p w14:paraId="71C5D7D2" w14:textId="77777777" w:rsidR="00C06AD1" w:rsidRPr="00C06AD1" w:rsidRDefault="00C06AD1" w:rsidP="000356F5">
      <w:pPr>
        <w:pStyle w:val="NoSpacing"/>
        <w:ind w:firstLine="709"/>
        <w:jc w:val="both"/>
      </w:pPr>
      <w:r w:rsidRPr="00C06AD1">
        <w:t xml:space="preserve">От първия ден на въвеждането на еврото всички безкасови плащания ще се извършват </w:t>
      </w:r>
      <w:r>
        <w:t>само</w:t>
      </w:r>
      <w:r w:rsidRPr="00C06AD1">
        <w:t xml:space="preserve"> в евро.</w:t>
      </w:r>
    </w:p>
    <w:p w14:paraId="4DF58135" w14:textId="77777777" w:rsidR="00C06AD1" w:rsidRPr="00C06AD1" w:rsidRDefault="00C06AD1" w:rsidP="000356F5">
      <w:pPr>
        <w:pStyle w:val="NoSpacing"/>
        <w:ind w:firstLine="709"/>
        <w:jc w:val="both"/>
      </w:pPr>
      <w:r w:rsidRPr="00C06AD1">
        <w:t>Важно е да знаете, че съгласно Закона за въвеждане на еврото в Република България инвестиционните посредници нe извършват обмяна на банкноти и монети от левове в евро.</w:t>
      </w:r>
    </w:p>
    <w:p w14:paraId="5E6ABA13" w14:textId="77777777" w:rsidR="00C06AD1" w:rsidRPr="001E1DB1" w:rsidRDefault="00C06AD1" w:rsidP="000356F5">
      <w:pPr>
        <w:pStyle w:val="NoSpacing"/>
        <w:ind w:firstLine="709"/>
        <w:jc w:val="both"/>
      </w:pPr>
    </w:p>
    <w:p w14:paraId="3F71535A" w14:textId="77777777" w:rsidR="00833447" w:rsidRPr="001D1833" w:rsidRDefault="00085D3C" w:rsidP="000356F5">
      <w:pPr>
        <w:pStyle w:val="NoSpacing"/>
        <w:ind w:firstLine="709"/>
        <w:jc w:val="both"/>
        <w:rPr>
          <w:i/>
        </w:rPr>
      </w:pPr>
      <w:r w:rsidRPr="001D1833">
        <w:rPr>
          <w:i/>
        </w:rPr>
        <w:t>Преустановяване на сделки и операции с безналични финансови инструменти</w:t>
      </w:r>
    </w:p>
    <w:p w14:paraId="79978579" w14:textId="77777777" w:rsidR="00FD689E" w:rsidRPr="001D1833" w:rsidRDefault="00FD689E" w:rsidP="000356F5">
      <w:pPr>
        <w:pStyle w:val="NoSpacing"/>
        <w:ind w:firstLine="709"/>
        <w:jc w:val="both"/>
        <w:rPr>
          <w:i/>
        </w:rPr>
      </w:pPr>
    </w:p>
    <w:p w14:paraId="44E874BC" w14:textId="0FEB6B2B" w:rsidR="00285568" w:rsidRPr="00CF60E9" w:rsidRDefault="00285568" w:rsidP="000356F5">
      <w:pPr>
        <w:pStyle w:val="NoSpacing"/>
        <w:ind w:firstLine="709"/>
        <w:jc w:val="both"/>
      </w:pPr>
      <w:r w:rsidRPr="001E1DB1">
        <w:t xml:space="preserve">В срок от три работни дни преди датата на въвеждане на еврото в Република България всички сделки и операции </w:t>
      </w:r>
      <w:r w:rsidR="00557013">
        <w:t xml:space="preserve">в лева </w:t>
      </w:r>
      <w:r w:rsidRPr="001E1DB1">
        <w:t>с безналични финансови инструменти се преустановяват. Сделките и операциите се възобновяват в първия работен ден след въвеждане на еврото.</w:t>
      </w:r>
      <w:r w:rsidR="00CF60E9" w:rsidRPr="00CF60E9">
        <w:t xml:space="preserve"> Всички системи за сетълмент ще осигурят възможност за сключване на сделки в евро от тази дата. </w:t>
      </w:r>
    </w:p>
    <w:p w14:paraId="24D31ADA" w14:textId="77777777" w:rsidR="00833447" w:rsidRPr="001E1DB1" w:rsidRDefault="00833447" w:rsidP="000356F5">
      <w:pPr>
        <w:pStyle w:val="NoSpacing"/>
        <w:ind w:firstLine="709"/>
        <w:jc w:val="both"/>
      </w:pPr>
    </w:p>
    <w:p w14:paraId="51B9ECC5" w14:textId="77777777" w:rsidR="00F655CE" w:rsidRPr="001D1833" w:rsidRDefault="00904115" w:rsidP="000356F5">
      <w:pPr>
        <w:pStyle w:val="NoSpacing"/>
        <w:ind w:firstLine="709"/>
        <w:jc w:val="both"/>
        <w:rPr>
          <w:i/>
        </w:rPr>
      </w:pPr>
      <w:bookmarkStart w:id="1" w:name="_GoBack"/>
      <w:r w:rsidRPr="001D1833">
        <w:rPr>
          <w:i/>
        </w:rPr>
        <w:t xml:space="preserve">Право на информация </w:t>
      </w:r>
    </w:p>
    <w:bookmarkEnd w:id="1"/>
    <w:p w14:paraId="64BD17A8" w14:textId="77777777" w:rsidR="00904115" w:rsidRPr="001E1DB1" w:rsidRDefault="00904115" w:rsidP="000356F5">
      <w:pPr>
        <w:pStyle w:val="NoSpacing"/>
        <w:ind w:firstLine="709"/>
        <w:jc w:val="both"/>
      </w:pPr>
    </w:p>
    <w:p w14:paraId="74C940B3" w14:textId="1261A456" w:rsidR="009032E8" w:rsidRDefault="00904115" w:rsidP="000356F5">
      <w:pPr>
        <w:pStyle w:val="NoSpacing"/>
        <w:ind w:firstLine="709"/>
        <w:jc w:val="both"/>
      </w:pPr>
      <w:r w:rsidRPr="001E1DB1">
        <w:t xml:space="preserve">В периода от </w:t>
      </w:r>
      <w:r w:rsidR="00C06AD1">
        <w:t xml:space="preserve">датата на въвеждане до </w:t>
      </w:r>
      <w:r w:rsidR="00CF213B" w:rsidRPr="00C06AD1">
        <w:t>една година след дата на въвеждане</w:t>
      </w:r>
      <w:r w:rsidR="00C06AD1" w:rsidRPr="00C06AD1">
        <w:t xml:space="preserve"> на еврото</w:t>
      </w:r>
      <w:r w:rsidR="00CF213B" w:rsidRPr="001E1DB1">
        <w:rPr>
          <w:i/>
          <w:iCs/>
        </w:rPr>
        <w:t xml:space="preserve"> </w:t>
      </w:r>
      <w:r w:rsidR="00CF213B" w:rsidRPr="001E1DB1">
        <w:t xml:space="preserve">всеки клиент </w:t>
      </w:r>
      <w:r w:rsidRPr="001E1DB1">
        <w:t xml:space="preserve">има право да получи информация относно паричните стойности </w:t>
      </w:r>
      <w:r w:rsidR="00085D3C" w:rsidRPr="001E1DB1">
        <w:t>във връзка с</w:t>
      </w:r>
      <w:r w:rsidR="00E45A0B" w:rsidRPr="001E1DB1">
        <w:t xml:space="preserve"> предоставените му инвестиционни и допълнителни услуги </w:t>
      </w:r>
      <w:r w:rsidRPr="001E1DB1">
        <w:t xml:space="preserve">в левове към </w:t>
      </w:r>
      <w:r w:rsidR="00CF213B" w:rsidRPr="00C06AD1">
        <w:t xml:space="preserve">датата на </w:t>
      </w:r>
      <w:proofErr w:type="spellStart"/>
      <w:r w:rsidR="00CF213B" w:rsidRPr="00C06AD1">
        <w:t>превалутиране</w:t>
      </w:r>
      <w:proofErr w:type="spellEnd"/>
      <w:r w:rsidRPr="001E1DB1">
        <w:t>.</w:t>
      </w:r>
      <w:r w:rsidR="00CF213B" w:rsidRPr="001E1DB1">
        <w:t xml:space="preserve"> </w:t>
      </w:r>
      <w:r w:rsidR="00E45A0B" w:rsidRPr="001E1DB1">
        <w:t>Инвестиционните посредници</w:t>
      </w:r>
      <w:r w:rsidR="00CF213B" w:rsidRPr="001E1DB1">
        <w:t xml:space="preserve"> предоставя</w:t>
      </w:r>
      <w:r w:rsidR="00B86EA1" w:rsidRPr="001E1DB1">
        <w:t>т</w:t>
      </w:r>
      <w:r w:rsidR="00CF213B" w:rsidRPr="001E1DB1">
        <w:t xml:space="preserve"> безплатно информацията </w:t>
      </w:r>
      <w:r w:rsidRPr="001E1DB1">
        <w:t>в 7-дневен срок от поискването.</w:t>
      </w:r>
      <w:r w:rsidR="00CC06A7" w:rsidRPr="001E1DB1">
        <w:t xml:space="preserve"> </w:t>
      </w:r>
      <w:r w:rsidR="000A67E6" w:rsidRPr="001E1DB1">
        <w:t xml:space="preserve">Клиентите могат да направят искането </w:t>
      </w:r>
      <w:r w:rsidR="00D0642F">
        <w:t>на посочените на уеб-сайта на дружеството имейл или телефон за контакт</w:t>
      </w:r>
      <w:r w:rsidR="00D0642F" w:rsidRPr="00220257">
        <w:t xml:space="preserve">. </w:t>
      </w:r>
    </w:p>
    <w:p w14:paraId="7C622AFE" w14:textId="67C3FF72" w:rsidR="00F655CE" w:rsidRDefault="00F655CE" w:rsidP="000356F5">
      <w:pPr>
        <w:pStyle w:val="NoSpacing"/>
        <w:ind w:firstLine="709"/>
        <w:jc w:val="both"/>
      </w:pPr>
    </w:p>
    <w:p w14:paraId="147913D1" w14:textId="77777777" w:rsidR="00167061" w:rsidRDefault="00167061" w:rsidP="000356F5">
      <w:pPr>
        <w:pStyle w:val="NoSpacing"/>
        <w:ind w:firstLine="709"/>
        <w:jc w:val="both"/>
      </w:pPr>
    </w:p>
    <w:p w14:paraId="03F9E690" w14:textId="77777777" w:rsidR="00167061" w:rsidRDefault="00167061" w:rsidP="000356F5">
      <w:pPr>
        <w:pStyle w:val="NoSpacing"/>
        <w:ind w:firstLine="709"/>
        <w:jc w:val="both"/>
      </w:pPr>
    </w:p>
    <w:p w14:paraId="1EF4247C" w14:textId="5502678C" w:rsidR="00167061" w:rsidRPr="00167061" w:rsidRDefault="00167061" w:rsidP="000356F5">
      <w:pPr>
        <w:pStyle w:val="NoSpacing"/>
        <w:ind w:firstLine="709"/>
        <w:jc w:val="both"/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</w:pPr>
      <w:hyperlink r:id="rId9" w:anchor="_ftnref2" w:history="1">
        <w:r>
          <w:rPr>
            <w:rFonts w:ascii="Roboto" w:eastAsia="Times New Roman" w:hAnsi="Roboto" w:cs="Times New Roman"/>
            <w:color w:val="00A0E8"/>
            <w:kern w:val="0"/>
            <w:sz w:val="24"/>
            <w:szCs w:val="24"/>
            <w:lang w:eastAsia="bg-BG"/>
          </w:rPr>
          <w:t>[1</w:t>
        </w:r>
        <w:r w:rsidRPr="00167061">
          <w:rPr>
            <w:rFonts w:ascii="Roboto" w:eastAsia="Times New Roman" w:hAnsi="Roboto" w:cs="Times New Roman"/>
            <w:color w:val="00A0E8"/>
            <w:kern w:val="0"/>
            <w:sz w:val="24"/>
            <w:szCs w:val="24"/>
            <w:lang w:eastAsia="bg-BG"/>
          </w:rPr>
          <w:t>]</w:t>
        </w:r>
      </w:hyperlink>
      <w:r w:rsidRPr="00167061"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  <w:t> Изключение от това правилото относно знака след десетичната запетая, на базата на който се извършва закръгляването, се допуска само когато Закона за въвеждане на еврото в Република България или друг закон или правен акт на Европейския съюз предвиждат закръгляването да се извършва до знак след десетичната запетая, различен от посочения.</w:t>
      </w:r>
    </w:p>
    <w:bookmarkStart w:id="2" w:name="_ftn2"/>
    <w:p w14:paraId="172876D3" w14:textId="77777777" w:rsidR="00167061" w:rsidRPr="00167061" w:rsidRDefault="00167061" w:rsidP="000356F5">
      <w:pPr>
        <w:pStyle w:val="NoSpacing"/>
        <w:ind w:firstLine="709"/>
        <w:jc w:val="both"/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</w:pPr>
      <w:r w:rsidRPr="00167061"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  <w:fldChar w:fldCharType="begin"/>
      </w:r>
      <w:r w:rsidRPr="00167061"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  <w:instrText xml:space="preserve"> HYPERLINK "https://sis.bg/saobshtenie-vav-vrazka-s-vavejdaneto-na-evroto-kato-ofitsialna-valuta-v-republika-balgariya/" \l "_ftnref2" </w:instrText>
      </w:r>
      <w:r w:rsidRPr="00167061"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  <w:fldChar w:fldCharType="separate"/>
      </w:r>
      <w:r w:rsidRPr="00167061">
        <w:rPr>
          <w:rFonts w:ascii="Roboto" w:eastAsia="Times New Roman" w:hAnsi="Roboto" w:cs="Times New Roman"/>
          <w:color w:val="00A0E8"/>
          <w:kern w:val="0"/>
          <w:sz w:val="24"/>
          <w:szCs w:val="24"/>
          <w:lang w:eastAsia="bg-BG"/>
        </w:rPr>
        <w:t>[2]</w:t>
      </w:r>
      <w:r w:rsidRPr="00167061"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  <w:fldChar w:fldCharType="end"/>
      </w:r>
      <w:bookmarkEnd w:id="2"/>
      <w:r w:rsidRPr="00167061"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  <w:t> Информация по чл. 71, ал. 2, т. 4 от Закона за пазарите на финансови инструменти</w:t>
      </w:r>
    </w:p>
    <w:p w14:paraId="250EC72E" w14:textId="584B3668" w:rsidR="00167061" w:rsidRPr="001E1DB1" w:rsidRDefault="00167061" w:rsidP="000356F5">
      <w:pPr>
        <w:pStyle w:val="NoSpacing"/>
        <w:ind w:firstLine="709"/>
        <w:jc w:val="both"/>
      </w:pPr>
      <w:r w:rsidRPr="00167061">
        <w:rPr>
          <w:rFonts w:ascii="Roboto" w:eastAsia="Times New Roman" w:hAnsi="Roboto" w:cs="Times New Roman"/>
          <w:color w:val="2E3340"/>
          <w:kern w:val="0"/>
          <w:sz w:val="24"/>
          <w:szCs w:val="24"/>
          <w:lang w:eastAsia="bg-BG"/>
        </w:rPr>
        <w:t> </w:t>
      </w:r>
    </w:p>
    <w:sectPr w:rsidR="00167061" w:rsidRPr="001E1DB1" w:rsidSect="0016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73572" w14:textId="77777777" w:rsidR="00FC0F8F" w:rsidRDefault="00FC0F8F" w:rsidP="00FA09CA">
      <w:pPr>
        <w:spacing w:after="0" w:line="240" w:lineRule="auto"/>
      </w:pPr>
      <w:r>
        <w:separator/>
      </w:r>
    </w:p>
  </w:endnote>
  <w:endnote w:type="continuationSeparator" w:id="0">
    <w:p w14:paraId="42DB1300" w14:textId="77777777" w:rsidR="00FC0F8F" w:rsidRDefault="00FC0F8F" w:rsidP="00FA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B69F6" w14:textId="77777777" w:rsidR="00FC0F8F" w:rsidRDefault="00FC0F8F" w:rsidP="00FA09CA">
      <w:pPr>
        <w:spacing w:after="0" w:line="240" w:lineRule="auto"/>
      </w:pPr>
      <w:r>
        <w:separator/>
      </w:r>
    </w:p>
  </w:footnote>
  <w:footnote w:type="continuationSeparator" w:id="0">
    <w:p w14:paraId="36F46A79" w14:textId="77777777" w:rsidR="00FC0F8F" w:rsidRDefault="00FC0F8F" w:rsidP="00FA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820"/>
    <w:multiLevelType w:val="hybridMultilevel"/>
    <w:tmpl w:val="77DE2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759CF"/>
    <w:multiLevelType w:val="hybridMultilevel"/>
    <w:tmpl w:val="58A6610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F1F1B60"/>
    <w:multiLevelType w:val="hybridMultilevel"/>
    <w:tmpl w:val="EFEE1C8C"/>
    <w:lvl w:ilvl="0" w:tplc="0402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735D1751"/>
    <w:multiLevelType w:val="hybridMultilevel"/>
    <w:tmpl w:val="4694298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73804B9B"/>
    <w:multiLevelType w:val="hybridMultilevel"/>
    <w:tmpl w:val="9F18F000"/>
    <w:lvl w:ilvl="0" w:tplc="0402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7C26221D"/>
    <w:multiLevelType w:val="hybridMultilevel"/>
    <w:tmpl w:val="C5945248"/>
    <w:lvl w:ilvl="0" w:tplc="4DC29C76">
      <w:start w:val="1"/>
      <w:numFmt w:val="bullet"/>
      <w:lvlText w:val="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E1"/>
    <w:rsid w:val="00005411"/>
    <w:rsid w:val="00014615"/>
    <w:rsid w:val="00017CFD"/>
    <w:rsid w:val="000356F5"/>
    <w:rsid w:val="0004190F"/>
    <w:rsid w:val="000440BD"/>
    <w:rsid w:val="00085D3C"/>
    <w:rsid w:val="00090A7E"/>
    <w:rsid w:val="00090B57"/>
    <w:rsid w:val="000A0B24"/>
    <w:rsid w:val="000A5036"/>
    <w:rsid w:val="000A67E6"/>
    <w:rsid w:val="000B197C"/>
    <w:rsid w:val="000B6AA7"/>
    <w:rsid w:val="000D6668"/>
    <w:rsid w:val="000F0F07"/>
    <w:rsid w:val="00105A5C"/>
    <w:rsid w:val="00113DFD"/>
    <w:rsid w:val="001353F0"/>
    <w:rsid w:val="00154D79"/>
    <w:rsid w:val="0016588F"/>
    <w:rsid w:val="00167061"/>
    <w:rsid w:val="0017111C"/>
    <w:rsid w:val="00176046"/>
    <w:rsid w:val="00181043"/>
    <w:rsid w:val="00182E69"/>
    <w:rsid w:val="00195CCE"/>
    <w:rsid w:val="001A1C5E"/>
    <w:rsid w:val="001D1833"/>
    <w:rsid w:val="001E1DB1"/>
    <w:rsid w:val="001F79E3"/>
    <w:rsid w:val="00210C05"/>
    <w:rsid w:val="00220257"/>
    <w:rsid w:val="002230DB"/>
    <w:rsid w:val="00224510"/>
    <w:rsid w:val="00255B42"/>
    <w:rsid w:val="00263CF7"/>
    <w:rsid w:val="00285568"/>
    <w:rsid w:val="002C0DBA"/>
    <w:rsid w:val="002D3ED6"/>
    <w:rsid w:val="00314225"/>
    <w:rsid w:val="003346E9"/>
    <w:rsid w:val="003519B9"/>
    <w:rsid w:val="003557D3"/>
    <w:rsid w:val="0036057D"/>
    <w:rsid w:val="00374D5F"/>
    <w:rsid w:val="00396ADA"/>
    <w:rsid w:val="003A3328"/>
    <w:rsid w:val="003B5911"/>
    <w:rsid w:val="003C0EFF"/>
    <w:rsid w:val="003C20B4"/>
    <w:rsid w:val="003C4E53"/>
    <w:rsid w:val="003D27EB"/>
    <w:rsid w:val="003F146A"/>
    <w:rsid w:val="00405371"/>
    <w:rsid w:val="00407FF2"/>
    <w:rsid w:val="004371C2"/>
    <w:rsid w:val="0044204F"/>
    <w:rsid w:val="00452118"/>
    <w:rsid w:val="00454F60"/>
    <w:rsid w:val="00466FA0"/>
    <w:rsid w:val="00470DA0"/>
    <w:rsid w:val="00474D3F"/>
    <w:rsid w:val="00496160"/>
    <w:rsid w:val="00496968"/>
    <w:rsid w:val="004A2C78"/>
    <w:rsid w:val="004C6812"/>
    <w:rsid w:val="00503F39"/>
    <w:rsid w:val="005103FC"/>
    <w:rsid w:val="00526423"/>
    <w:rsid w:val="005305F8"/>
    <w:rsid w:val="00531395"/>
    <w:rsid w:val="0053571B"/>
    <w:rsid w:val="00553E3B"/>
    <w:rsid w:val="00557013"/>
    <w:rsid w:val="0056177A"/>
    <w:rsid w:val="00594ACE"/>
    <w:rsid w:val="00595702"/>
    <w:rsid w:val="005A5D1E"/>
    <w:rsid w:val="005C2BAD"/>
    <w:rsid w:val="005D5F3E"/>
    <w:rsid w:val="005F10BB"/>
    <w:rsid w:val="00625270"/>
    <w:rsid w:val="006725C4"/>
    <w:rsid w:val="006A239C"/>
    <w:rsid w:val="006D1775"/>
    <w:rsid w:val="00703441"/>
    <w:rsid w:val="00760F7A"/>
    <w:rsid w:val="00766AC4"/>
    <w:rsid w:val="007769C2"/>
    <w:rsid w:val="007A051C"/>
    <w:rsid w:val="007A141F"/>
    <w:rsid w:val="007A3C1C"/>
    <w:rsid w:val="007A7477"/>
    <w:rsid w:val="007B705C"/>
    <w:rsid w:val="007E3C5C"/>
    <w:rsid w:val="007E4787"/>
    <w:rsid w:val="007E4A26"/>
    <w:rsid w:val="007E6413"/>
    <w:rsid w:val="00816396"/>
    <w:rsid w:val="00833447"/>
    <w:rsid w:val="00841FCA"/>
    <w:rsid w:val="00844885"/>
    <w:rsid w:val="008471B7"/>
    <w:rsid w:val="00851B5B"/>
    <w:rsid w:val="008673DA"/>
    <w:rsid w:val="00871177"/>
    <w:rsid w:val="0087254A"/>
    <w:rsid w:val="00887CC7"/>
    <w:rsid w:val="008939DD"/>
    <w:rsid w:val="008C63DE"/>
    <w:rsid w:val="008E633D"/>
    <w:rsid w:val="009032E8"/>
    <w:rsid w:val="00904115"/>
    <w:rsid w:val="009053A7"/>
    <w:rsid w:val="00915836"/>
    <w:rsid w:val="00923057"/>
    <w:rsid w:val="00931761"/>
    <w:rsid w:val="00944D60"/>
    <w:rsid w:val="00956DFF"/>
    <w:rsid w:val="00964752"/>
    <w:rsid w:val="009716F4"/>
    <w:rsid w:val="009E175E"/>
    <w:rsid w:val="00A14BD2"/>
    <w:rsid w:val="00A2296D"/>
    <w:rsid w:val="00A25417"/>
    <w:rsid w:val="00A3466B"/>
    <w:rsid w:val="00A70DE4"/>
    <w:rsid w:val="00A76E86"/>
    <w:rsid w:val="00AA399C"/>
    <w:rsid w:val="00AA78F2"/>
    <w:rsid w:val="00AC56AA"/>
    <w:rsid w:val="00AD4F9F"/>
    <w:rsid w:val="00B07C45"/>
    <w:rsid w:val="00B1134D"/>
    <w:rsid w:val="00B17957"/>
    <w:rsid w:val="00B4144D"/>
    <w:rsid w:val="00B554ED"/>
    <w:rsid w:val="00B7338B"/>
    <w:rsid w:val="00B86EA1"/>
    <w:rsid w:val="00B92E63"/>
    <w:rsid w:val="00BA1916"/>
    <w:rsid w:val="00BF6245"/>
    <w:rsid w:val="00C06AD1"/>
    <w:rsid w:val="00C148E1"/>
    <w:rsid w:val="00C42FDC"/>
    <w:rsid w:val="00C61A4E"/>
    <w:rsid w:val="00C66942"/>
    <w:rsid w:val="00C835D9"/>
    <w:rsid w:val="00C95FA6"/>
    <w:rsid w:val="00C9714A"/>
    <w:rsid w:val="00CB5F70"/>
    <w:rsid w:val="00CC06A7"/>
    <w:rsid w:val="00CC137E"/>
    <w:rsid w:val="00CC2309"/>
    <w:rsid w:val="00CC4357"/>
    <w:rsid w:val="00CE0F1B"/>
    <w:rsid w:val="00CE7BBC"/>
    <w:rsid w:val="00CF213B"/>
    <w:rsid w:val="00CF60E9"/>
    <w:rsid w:val="00D0297C"/>
    <w:rsid w:val="00D0642F"/>
    <w:rsid w:val="00D43F82"/>
    <w:rsid w:val="00D6740C"/>
    <w:rsid w:val="00D97DA1"/>
    <w:rsid w:val="00DA7C14"/>
    <w:rsid w:val="00DB25E3"/>
    <w:rsid w:val="00DC6E48"/>
    <w:rsid w:val="00DE0750"/>
    <w:rsid w:val="00E00104"/>
    <w:rsid w:val="00E45A0B"/>
    <w:rsid w:val="00E55927"/>
    <w:rsid w:val="00E746FC"/>
    <w:rsid w:val="00E90C43"/>
    <w:rsid w:val="00EC0AD9"/>
    <w:rsid w:val="00ED3E97"/>
    <w:rsid w:val="00F0740C"/>
    <w:rsid w:val="00F14FB1"/>
    <w:rsid w:val="00F31099"/>
    <w:rsid w:val="00F44F40"/>
    <w:rsid w:val="00F579A1"/>
    <w:rsid w:val="00F655CE"/>
    <w:rsid w:val="00F7637C"/>
    <w:rsid w:val="00F84223"/>
    <w:rsid w:val="00F85724"/>
    <w:rsid w:val="00FA09CA"/>
    <w:rsid w:val="00FC0F8F"/>
    <w:rsid w:val="00FD0DDB"/>
    <w:rsid w:val="00FD689E"/>
    <w:rsid w:val="00FE451A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08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8F"/>
  </w:style>
  <w:style w:type="paragraph" w:styleId="Heading1">
    <w:name w:val="heading 1"/>
    <w:basedOn w:val="Normal"/>
    <w:next w:val="Normal"/>
    <w:link w:val="Heading1Char"/>
    <w:uiPriority w:val="9"/>
    <w:qFormat/>
    <w:rsid w:val="00C1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3C1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7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C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9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9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09CA"/>
    <w:rPr>
      <w:vertAlign w:val="superscript"/>
    </w:rPr>
  </w:style>
  <w:style w:type="paragraph" w:styleId="Revision">
    <w:name w:val="Revision"/>
    <w:hidden/>
    <w:uiPriority w:val="99"/>
    <w:semiHidden/>
    <w:rsid w:val="008673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CCE"/>
  </w:style>
  <w:style w:type="paragraph" w:styleId="Footer">
    <w:name w:val="footer"/>
    <w:basedOn w:val="Normal"/>
    <w:link w:val="FooterChar"/>
    <w:uiPriority w:val="99"/>
    <w:unhideWhenUsed/>
    <w:rsid w:val="0019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CCE"/>
  </w:style>
  <w:style w:type="paragraph" w:styleId="NoSpacing">
    <w:name w:val="No Spacing"/>
    <w:uiPriority w:val="1"/>
    <w:qFormat/>
    <w:rsid w:val="00195C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8F"/>
  </w:style>
  <w:style w:type="paragraph" w:styleId="Heading1">
    <w:name w:val="heading 1"/>
    <w:basedOn w:val="Normal"/>
    <w:next w:val="Normal"/>
    <w:link w:val="Heading1Char"/>
    <w:uiPriority w:val="9"/>
    <w:qFormat/>
    <w:rsid w:val="00C1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3C1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7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C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9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9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09CA"/>
    <w:rPr>
      <w:vertAlign w:val="superscript"/>
    </w:rPr>
  </w:style>
  <w:style w:type="paragraph" w:styleId="Revision">
    <w:name w:val="Revision"/>
    <w:hidden/>
    <w:uiPriority w:val="99"/>
    <w:semiHidden/>
    <w:rsid w:val="008673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CCE"/>
  </w:style>
  <w:style w:type="paragraph" w:styleId="Footer">
    <w:name w:val="footer"/>
    <w:basedOn w:val="Normal"/>
    <w:link w:val="FooterChar"/>
    <w:uiPriority w:val="99"/>
    <w:unhideWhenUsed/>
    <w:rsid w:val="0019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CCE"/>
  </w:style>
  <w:style w:type="paragraph" w:styleId="NoSpacing">
    <w:name w:val="No Spacing"/>
    <w:uiPriority w:val="1"/>
    <w:qFormat/>
    <w:rsid w:val="00195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87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58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26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53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586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95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384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24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s.bg/saobshtenie-vav-vrazka-s-vavejdaneto-na-evroto-kato-ofitsialna-valuta-v-republika-balgar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6FCB-69CF-465F-9AFB-ABE1D98F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Miglena Zibilyanova</dc:creator>
  <cp:lastModifiedBy>USER</cp:lastModifiedBy>
  <cp:revision>3</cp:revision>
  <dcterms:created xsi:type="dcterms:W3CDTF">2025-03-27T12:58:00Z</dcterms:created>
  <dcterms:modified xsi:type="dcterms:W3CDTF">2025-03-27T13:18:00Z</dcterms:modified>
</cp:coreProperties>
</file>